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10" w:beforeAutospacing="0" w:after="810" w:afterAutospacing="0" w:line="336" w:lineRule="atLeast"/>
        <w:ind w:left="-242" w:right="-242"/>
        <w:jc w:val="center"/>
        <w:rPr>
          <w:color w:val="555555"/>
          <w:sz w:val="33"/>
          <w:szCs w:val="33"/>
        </w:rPr>
      </w:pPr>
      <w:r>
        <w:rPr>
          <w:b/>
          <w:color w:val="555555"/>
          <w:sz w:val="33"/>
          <w:szCs w:val="33"/>
          <w:bdr w:val="none" w:color="auto" w:sz="0" w:space="0"/>
          <w:shd w:val="clear" w:fill="FFFFFF"/>
        </w:rPr>
        <w:t>国务院办公厅关于印发中央预算单位政府集中采购目录及标准（2020年版）的通知</w:t>
      </w:r>
    </w:p>
    <w:p>
      <w:pPr>
        <w:keepNext w:val="0"/>
        <w:keepLines w:val="0"/>
        <w:widowControl/>
        <w:suppressLineNumbers w:val="0"/>
        <w:pBdr>
          <w:top w:val="none" w:color="auto" w:sz="0" w:space="0"/>
        </w:pBdr>
        <w:shd w:val="clear" w:fill="FFFFFF"/>
        <w:spacing w:before="600" w:beforeAutospacing="0" w:after="810" w:afterAutospacing="0" w:line="420" w:lineRule="atLeast"/>
        <w:ind w:left="-452" w:right="-452"/>
        <w:jc w:val="center"/>
        <w:rPr>
          <w:rFonts w:hint="eastAsia" w:ascii="微软雅黑" w:hAnsi="微软雅黑" w:eastAsia="微软雅黑" w:cs="微软雅黑"/>
          <w:color w:val="888888"/>
          <w:sz w:val="16"/>
          <w:szCs w:val="16"/>
        </w:rPr>
      </w:pPr>
      <w:r>
        <w:rPr>
          <w:rFonts w:hint="eastAsia" w:ascii="微软雅黑" w:hAnsi="微软雅黑" w:eastAsia="微软雅黑" w:cs="微软雅黑"/>
          <w:color w:val="888888"/>
          <w:kern w:val="0"/>
          <w:sz w:val="16"/>
          <w:szCs w:val="16"/>
          <w:shd w:val="clear" w:fill="FFFFFF"/>
          <w:lang w:val="en-US" w:eastAsia="zh-CN" w:bidi="ar"/>
        </w:rPr>
        <w:t>【发布时间：2020/1/7】   【来源：中国政府网】  【点击：64 】</w:t>
      </w:r>
      <w:r>
        <w:rPr>
          <w:rFonts w:hint="eastAsia" w:ascii="微软雅黑" w:hAnsi="微软雅黑" w:eastAsia="微软雅黑" w:cs="微软雅黑"/>
          <w:color w:val="666666"/>
          <w:kern w:val="0"/>
          <w:sz w:val="16"/>
          <w:szCs w:val="16"/>
          <w:shd w:val="clear" w:fill="FFFFFF"/>
          <w:lang w:val="en-US" w:eastAsia="zh-CN" w:bidi="ar"/>
        </w:rPr>
        <w:fldChar w:fldCharType="begin"/>
      </w:r>
      <w:r>
        <w:rPr>
          <w:rFonts w:hint="eastAsia" w:ascii="微软雅黑" w:hAnsi="微软雅黑" w:eastAsia="微软雅黑" w:cs="微软雅黑"/>
          <w:color w:val="666666"/>
          <w:kern w:val="0"/>
          <w:sz w:val="16"/>
          <w:szCs w:val="16"/>
          <w:shd w:val="clear" w:fill="FFFFFF"/>
          <w:lang w:val="en-US" w:eastAsia="zh-CN" w:bidi="ar"/>
        </w:rPr>
        <w:instrText xml:space="preserve"> HYPERLINK "http://yndrc.yn.gov.cn/content.aspx?id=774896736658" </w:instrText>
      </w:r>
      <w:r>
        <w:rPr>
          <w:rFonts w:hint="eastAsia" w:ascii="微软雅黑" w:hAnsi="微软雅黑" w:eastAsia="微软雅黑" w:cs="微软雅黑"/>
          <w:color w:val="666666"/>
          <w:kern w:val="0"/>
          <w:sz w:val="16"/>
          <w:szCs w:val="16"/>
          <w:shd w:val="clear" w:fill="FFFFFF"/>
          <w:lang w:val="en-US" w:eastAsia="zh-CN" w:bidi="ar"/>
        </w:rPr>
        <w:fldChar w:fldCharType="separate"/>
      </w:r>
      <w:r>
        <w:rPr>
          <w:rFonts w:hint="eastAsia" w:ascii="微软雅黑" w:hAnsi="微软雅黑" w:eastAsia="微软雅黑" w:cs="微软雅黑"/>
          <w:color w:val="666666"/>
          <w:kern w:val="0"/>
          <w:sz w:val="16"/>
          <w:szCs w:val="16"/>
          <w:shd w:val="clear" w:fill="FFFFFF"/>
          <w:lang w:val="en-US" w:eastAsia="zh-CN" w:bidi="ar"/>
        </w:rPr>
        <w:fldChar w:fldCharType="end"/>
      </w:r>
      <w:r>
        <w:rPr>
          <w:rFonts w:hint="eastAsia" w:ascii="微软雅黑" w:hAnsi="微软雅黑" w:eastAsia="微软雅黑" w:cs="微软雅黑"/>
          <w:color w:val="666666"/>
          <w:kern w:val="0"/>
          <w:sz w:val="16"/>
          <w:szCs w:val="16"/>
          <w:shd w:val="clear" w:fill="FFFFFF"/>
          <w:lang w:val="en-US" w:eastAsia="zh-CN" w:bidi="ar"/>
        </w:rPr>
        <w:fldChar w:fldCharType="begin"/>
      </w:r>
      <w:r>
        <w:rPr>
          <w:rFonts w:hint="eastAsia" w:ascii="微软雅黑" w:hAnsi="微软雅黑" w:eastAsia="微软雅黑" w:cs="微软雅黑"/>
          <w:color w:val="666666"/>
          <w:kern w:val="0"/>
          <w:sz w:val="16"/>
          <w:szCs w:val="16"/>
          <w:shd w:val="clear" w:fill="FFFFFF"/>
          <w:lang w:val="en-US" w:eastAsia="zh-CN" w:bidi="ar"/>
        </w:rPr>
        <w:instrText xml:space="preserve"> HYPERLINK "http://yndrc.yn.gov.cn/content.aspx?id=774896736658" \o "分享到QQ空间" </w:instrText>
      </w:r>
      <w:r>
        <w:rPr>
          <w:rFonts w:hint="eastAsia" w:ascii="微软雅黑" w:hAnsi="微软雅黑" w:eastAsia="微软雅黑" w:cs="微软雅黑"/>
          <w:color w:val="666666"/>
          <w:kern w:val="0"/>
          <w:sz w:val="16"/>
          <w:szCs w:val="16"/>
          <w:shd w:val="clear" w:fill="FFFFFF"/>
          <w:lang w:val="en-US" w:eastAsia="zh-CN" w:bidi="ar"/>
        </w:rPr>
        <w:fldChar w:fldCharType="separate"/>
      </w:r>
      <w:r>
        <w:rPr>
          <w:rFonts w:hint="eastAsia" w:ascii="微软雅黑" w:hAnsi="微软雅黑" w:eastAsia="微软雅黑" w:cs="微软雅黑"/>
          <w:color w:val="666666"/>
          <w:kern w:val="0"/>
          <w:sz w:val="16"/>
          <w:szCs w:val="16"/>
          <w:shd w:val="clear" w:fill="FFFFFF"/>
          <w:lang w:val="en-US" w:eastAsia="zh-CN" w:bidi="ar"/>
        </w:rPr>
        <w:fldChar w:fldCharType="end"/>
      </w:r>
      <w:r>
        <w:rPr>
          <w:rFonts w:hint="eastAsia" w:ascii="微软雅黑" w:hAnsi="微软雅黑" w:eastAsia="微软雅黑" w:cs="微软雅黑"/>
          <w:color w:val="666666"/>
          <w:kern w:val="0"/>
          <w:sz w:val="16"/>
          <w:szCs w:val="16"/>
          <w:shd w:val="clear" w:fill="FFFFFF"/>
          <w:lang w:val="en-US" w:eastAsia="zh-CN" w:bidi="ar"/>
        </w:rPr>
        <w:fldChar w:fldCharType="begin"/>
      </w:r>
      <w:r>
        <w:rPr>
          <w:rFonts w:hint="eastAsia" w:ascii="微软雅黑" w:hAnsi="微软雅黑" w:eastAsia="微软雅黑" w:cs="微软雅黑"/>
          <w:color w:val="666666"/>
          <w:kern w:val="0"/>
          <w:sz w:val="16"/>
          <w:szCs w:val="16"/>
          <w:shd w:val="clear" w:fill="FFFFFF"/>
          <w:lang w:val="en-US" w:eastAsia="zh-CN" w:bidi="ar"/>
        </w:rPr>
        <w:instrText xml:space="preserve"> HYPERLINK "http://yndrc.yn.gov.cn/content.aspx?id=774896736658" \o "分享到新浪微博" </w:instrText>
      </w:r>
      <w:r>
        <w:rPr>
          <w:rFonts w:hint="eastAsia" w:ascii="微软雅黑" w:hAnsi="微软雅黑" w:eastAsia="微软雅黑" w:cs="微软雅黑"/>
          <w:color w:val="666666"/>
          <w:kern w:val="0"/>
          <w:sz w:val="16"/>
          <w:szCs w:val="16"/>
          <w:shd w:val="clear" w:fill="FFFFFF"/>
          <w:lang w:val="en-US" w:eastAsia="zh-CN" w:bidi="ar"/>
        </w:rPr>
        <w:fldChar w:fldCharType="separate"/>
      </w:r>
      <w:r>
        <w:rPr>
          <w:rFonts w:hint="eastAsia" w:ascii="微软雅黑" w:hAnsi="微软雅黑" w:eastAsia="微软雅黑" w:cs="微软雅黑"/>
          <w:color w:val="666666"/>
          <w:kern w:val="0"/>
          <w:sz w:val="16"/>
          <w:szCs w:val="16"/>
          <w:shd w:val="clear" w:fill="FFFFFF"/>
          <w:lang w:val="en-US" w:eastAsia="zh-CN" w:bidi="ar"/>
        </w:rPr>
        <w:fldChar w:fldCharType="end"/>
      </w:r>
      <w:r>
        <w:rPr>
          <w:rFonts w:hint="eastAsia" w:ascii="微软雅黑" w:hAnsi="微软雅黑" w:eastAsia="微软雅黑" w:cs="微软雅黑"/>
          <w:color w:val="666666"/>
          <w:kern w:val="0"/>
          <w:sz w:val="16"/>
          <w:szCs w:val="16"/>
          <w:shd w:val="clear" w:fill="FFFFFF"/>
          <w:lang w:val="en-US" w:eastAsia="zh-CN" w:bidi="ar"/>
        </w:rPr>
        <w:fldChar w:fldCharType="begin"/>
      </w:r>
      <w:r>
        <w:rPr>
          <w:rFonts w:hint="eastAsia" w:ascii="微软雅黑" w:hAnsi="微软雅黑" w:eastAsia="微软雅黑" w:cs="微软雅黑"/>
          <w:color w:val="666666"/>
          <w:kern w:val="0"/>
          <w:sz w:val="16"/>
          <w:szCs w:val="16"/>
          <w:shd w:val="clear" w:fill="FFFFFF"/>
          <w:lang w:val="en-US" w:eastAsia="zh-CN" w:bidi="ar"/>
        </w:rPr>
        <w:instrText xml:space="preserve"> HYPERLINK "http://yndrc.yn.gov.cn/content.aspx?id=774896736658" \o "分享到腾讯微博" </w:instrText>
      </w:r>
      <w:r>
        <w:rPr>
          <w:rFonts w:hint="eastAsia" w:ascii="微软雅黑" w:hAnsi="微软雅黑" w:eastAsia="微软雅黑" w:cs="微软雅黑"/>
          <w:color w:val="666666"/>
          <w:kern w:val="0"/>
          <w:sz w:val="16"/>
          <w:szCs w:val="16"/>
          <w:shd w:val="clear" w:fill="FFFFFF"/>
          <w:lang w:val="en-US" w:eastAsia="zh-CN" w:bidi="ar"/>
        </w:rPr>
        <w:fldChar w:fldCharType="separate"/>
      </w:r>
      <w:r>
        <w:rPr>
          <w:rFonts w:hint="eastAsia" w:ascii="微软雅黑" w:hAnsi="微软雅黑" w:eastAsia="微软雅黑" w:cs="微软雅黑"/>
          <w:color w:val="666666"/>
          <w:kern w:val="0"/>
          <w:sz w:val="16"/>
          <w:szCs w:val="16"/>
          <w:shd w:val="clear" w:fill="FFFFFF"/>
          <w:lang w:val="en-US" w:eastAsia="zh-CN" w:bidi="ar"/>
        </w:rPr>
        <w:fldChar w:fldCharType="end"/>
      </w:r>
      <w:r>
        <w:rPr>
          <w:rFonts w:hint="eastAsia" w:ascii="微软雅黑" w:hAnsi="微软雅黑" w:eastAsia="微软雅黑" w:cs="微软雅黑"/>
          <w:color w:val="666666"/>
          <w:kern w:val="0"/>
          <w:sz w:val="16"/>
          <w:szCs w:val="16"/>
          <w:shd w:val="clear" w:fill="FFFFFF"/>
          <w:lang w:val="en-US" w:eastAsia="zh-CN" w:bidi="ar"/>
        </w:rPr>
        <w:fldChar w:fldCharType="begin"/>
      </w:r>
      <w:r>
        <w:rPr>
          <w:rFonts w:hint="eastAsia" w:ascii="微软雅黑" w:hAnsi="微软雅黑" w:eastAsia="微软雅黑" w:cs="微软雅黑"/>
          <w:color w:val="666666"/>
          <w:kern w:val="0"/>
          <w:sz w:val="16"/>
          <w:szCs w:val="16"/>
          <w:shd w:val="clear" w:fill="FFFFFF"/>
          <w:lang w:val="en-US" w:eastAsia="zh-CN" w:bidi="ar"/>
        </w:rPr>
        <w:instrText xml:space="preserve"> HYPERLINK "http://yndrc.yn.gov.cn/content.aspx?id=774896736658" \o "分享到人人网" </w:instrText>
      </w:r>
      <w:r>
        <w:rPr>
          <w:rFonts w:hint="eastAsia" w:ascii="微软雅黑" w:hAnsi="微软雅黑" w:eastAsia="微软雅黑" w:cs="微软雅黑"/>
          <w:color w:val="666666"/>
          <w:kern w:val="0"/>
          <w:sz w:val="16"/>
          <w:szCs w:val="16"/>
          <w:shd w:val="clear" w:fill="FFFFFF"/>
          <w:lang w:val="en-US" w:eastAsia="zh-CN" w:bidi="ar"/>
        </w:rPr>
        <w:fldChar w:fldCharType="separate"/>
      </w:r>
      <w:r>
        <w:rPr>
          <w:rFonts w:hint="eastAsia" w:ascii="微软雅黑" w:hAnsi="微软雅黑" w:eastAsia="微软雅黑" w:cs="微软雅黑"/>
          <w:color w:val="666666"/>
          <w:kern w:val="0"/>
          <w:sz w:val="16"/>
          <w:szCs w:val="16"/>
          <w:shd w:val="clear" w:fill="FFFFFF"/>
          <w:lang w:val="en-US" w:eastAsia="zh-CN" w:bidi="ar"/>
        </w:rPr>
        <w:fldChar w:fldCharType="end"/>
      </w:r>
      <w:r>
        <w:rPr>
          <w:rFonts w:hint="eastAsia" w:ascii="微软雅黑" w:hAnsi="微软雅黑" w:eastAsia="微软雅黑" w:cs="微软雅黑"/>
          <w:color w:val="666666"/>
          <w:kern w:val="0"/>
          <w:sz w:val="16"/>
          <w:szCs w:val="16"/>
          <w:shd w:val="clear" w:fill="FFFFFF"/>
          <w:lang w:val="en-US" w:eastAsia="zh-CN" w:bidi="ar"/>
        </w:rPr>
        <w:fldChar w:fldCharType="begin"/>
      </w:r>
      <w:r>
        <w:rPr>
          <w:rFonts w:hint="eastAsia" w:ascii="微软雅黑" w:hAnsi="微软雅黑" w:eastAsia="微软雅黑" w:cs="微软雅黑"/>
          <w:color w:val="666666"/>
          <w:kern w:val="0"/>
          <w:sz w:val="16"/>
          <w:szCs w:val="16"/>
          <w:shd w:val="clear" w:fill="FFFFFF"/>
          <w:lang w:val="en-US" w:eastAsia="zh-CN" w:bidi="ar"/>
        </w:rPr>
        <w:instrText xml:space="preserve"> HYPERLINK "http://yndrc.yn.gov.cn/content.aspx?id=774896736658" \o "分享到微信" </w:instrText>
      </w:r>
      <w:r>
        <w:rPr>
          <w:rFonts w:hint="eastAsia" w:ascii="微软雅黑" w:hAnsi="微软雅黑" w:eastAsia="微软雅黑" w:cs="微软雅黑"/>
          <w:color w:val="666666"/>
          <w:kern w:val="0"/>
          <w:sz w:val="16"/>
          <w:szCs w:val="16"/>
          <w:shd w:val="clear" w:fill="FFFFFF"/>
          <w:lang w:val="en-US" w:eastAsia="zh-CN" w:bidi="ar"/>
        </w:rPr>
        <w:fldChar w:fldCharType="separate"/>
      </w:r>
      <w:r>
        <w:rPr>
          <w:rFonts w:hint="eastAsia" w:ascii="微软雅黑" w:hAnsi="微软雅黑" w:eastAsia="微软雅黑" w:cs="微软雅黑"/>
          <w:color w:val="666666"/>
          <w:kern w:val="0"/>
          <w:sz w:val="16"/>
          <w:szCs w:val="16"/>
          <w:shd w:val="clear" w:fill="FFFFFF"/>
          <w:lang w:val="en-US" w:eastAsia="zh-CN" w:bidi="ar"/>
        </w:rPr>
        <w:fldChar w:fldCharType="end"/>
      </w:r>
    </w:p>
    <w:p>
      <w:pPr>
        <w:pStyle w:val="4"/>
        <w:keepNext w:val="0"/>
        <w:keepLines w:val="0"/>
        <w:widowControl/>
        <w:suppressLineNumbers w:val="0"/>
        <w:spacing w:before="600" w:beforeAutospacing="0" w:after="600" w:afterAutospacing="0" w:line="21" w:lineRule="atLeast"/>
        <w:ind w:left="-452" w:right="-452"/>
        <w:jc w:val="center"/>
      </w:pPr>
      <w:r>
        <w:rPr>
          <w:rFonts w:hint="eastAsia" w:ascii="微软雅黑" w:hAnsi="微软雅黑" w:eastAsia="微软雅黑" w:cs="微软雅黑"/>
          <w:color w:val="433E3B"/>
          <w:sz w:val="24"/>
          <w:szCs w:val="24"/>
          <w:shd w:val="clear" w:fill="FFFFFF"/>
        </w:rPr>
        <w:t>国办发〔2019〕55号</w:t>
      </w:r>
    </w:p>
    <w:p>
      <w:pPr>
        <w:pStyle w:val="4"/>
        <w:keepNext w:val="0"/>
        <w:keepLines w:val="0"/>
        <w:widowControl/>
        <w:suppressLineNumbers w:val="0"/>
        <w:spacing w:before="600" w:beforeAutospacing="0" w:after="600" w:afterAutospacing="0" w:line="21" w:lineRule="atLeast"/>
        <w:ind w:left="-452" w:right="-452"/>
      </w:pPr>
      <w:r>
        <w:rPr>
          <w:rFonts w:hint="eastAsia" w:ascii="微软雅黑" w:hAnsi="微软雅黑" w:eastAsia="微软雅黑" w:cs="微软雅黑"/>
          <w:color w:val="433E3B"/>
          <w:sz w:val="24"/>
          <w:szCs w:val="24"/>
          <w:shd w:val="clear" w:fill="FFFFFF"/>
        </w:rPr>
        <w:br w:type="textWrapping"/>
      </w:r>
      <w:r>
        <w:rPr>
          <w:rFonts w:hint="eastAsia" w:ascii="微软雅黑" w:hAnsi="微软雅黑" w:eastAsia="微软雅黑" w:cs="微软雅黑"/>
          <w:color w:val="433E3B"/>
          <w:sz w:val="24"/>
          <w:szCs w:val="24"/>
          <w:shd w:val="clear" w:fill="FFFFFF"/>
        </w:rPr>
        <w:t>国务院各部委、各直属机构：</w:t>
      </w:r>
    </w:p>
    <w:p>
      <w:pPr>
        <w:pStyle w:val="4"/>
        <w:keepNext w:val="0"/>
        <w:keepLines w:val="0"/>
        <w:widowControl/>
        <w:suppressLineNumbers w:val="0"/>
        <w:spacing w:before="600" w:beforeAutospacing="0" w:after="600" w:afterAutospacing="0" w:line="21" w:lineRule="atLeast"/>
        <w:ind w:left="-452" w:right="-452"/>
      </w:pPr>
      <w:r>
        <w:rPr>
          <w:rFonts w:hint="eastAsia" w:ascii="微软雅黑" w:hAnsi="微软雅黑" w:eastAsia="微软雅黑" w:cs="微软雅黑"/>
          <w:color w:val="433E3B"/>
          <w:sz w:val="24"/>
          <w:szCs w:val="24"/>
          <w:shd w:val="clear" w:fill="FFFFFF"/>
        </w:rPr>
        <w:t>《中央预算单位政府集中采购目录及标准（2020年版）》已经国务院同意，现印发给你们，请遵照执行。</w:t>
      </w:r>
    </w:p>
    <w:p>
      <w:pPr>
        <w:pStyle w:val="4"/>
        <w:keepNext w:val="0"/>
        <w:keepLines w:val="0"/>
        <w:widowControl/>
        <w:suppressLineNumbers w:val="0"/>
        <w:spacing w:before="600" w:beforeAutospacing="0" w:after="600" w:afterAutospacing="0" w:line="21" w:lineRule="atLeast"/>
        <w:ind w:left="-452" w:right="-452"/>
      </w:pPr>
      <w:r>
        <w:rPr>
          <w:rFonts w:hint="eastAsia" w:ascii="微软雅黑" w:hAnsi="微软雅黑" w:eastAsia="微软雅黑" w:cs="微软雅黑"/>
          <w:color w:val="433E3B"/>
          <w:sz w:val="24"/>
          <w:szCs w:val="24"/>
          <w:shd w:val="clear" w:fill="FFFFFF"/>
        </w:rPr>
        <w:t>《中央预算单位政府集中采购目录及标准（2020年版）》自2020年1月1日起实施，2016年12月21日印发的《中央预算单位2017—2018年政府集中采购目录及标准》同时废止。</w:t>
      </w:r>
    </w:p>
    <w:p>
      <w:pPr>
        <w:pStyle w:val="4"/>
        <w:keepNext w:val="0"/>
        <w:keepLines w:val="0"/>
        <w:widowControl/>
        <w:suppressLineNumbers w:val="0"/>
        <w:spacing w:before="600" w:beforeAutospacing="0" w:after="600" w:afterAutospacing="0" w:line="21" w:lineRule="atLeast"/>
        <w:ind w:left="-452" w:right="-452"/>
        <w:jc w:val="right"/>
      </w:pPr>
      <w:r>
        <w:rPr>
          <w:rFonts w:hint="eastAsia" w:ascii="微软雅黑" w:hAnsi="微软雅黑" w:eastAsia="微软雅黑" w:cs="微软雅黑"/>
          <w:color w:val="433E3B"/>
          <w:sz w:val="24"/>
          <w:szCs w:val="24"/>
          <w:shd w:val="clear" w:fill="FFFFFF"/>
        </w:rPr>
        <w:t xml:space="preserve">国务院办公厅 </w:t>
      </w:r>
    </w:p>
    <w:p>
      <w:pPr>
        <w:pStyle w:val="4"/>
        <w:keepNext w:val="0"/>
        <w:keepLines w:val="0"/>
        <w:widowControl/>
        <w:suppressLineNumbers w:val="0"/>
        <w:spacing w:before="600" w:beforeAutospacing="0" w:after="600" w:afterAutospacing="0" w:line="21" w:lineRule="atLeast"/>
        <w:ind w:left="-452" w:right="-452"/>
        <w:jc w:val="right"/>
      </w:pPr>
      <w:r>
        <w:rPr>
          <w:rFonts w:hint="eastAsia" w:ascii="微软雅黑" w:hAnsi="微软雅黑" w:eastAsia="微软雅黑" w:cs="微软雅黑"/>
          <w:color w:val="433E3B"/>
          <w:sz w:val="24"/>
          <w:szCs w:val="24"/>
          <w:shd w:val="clear" w:fill="FFFFFF"/>
        </w:rPr>
        <w:t xml:space="preserve">2019年12月26日 </w:t>
      </w:r>
    </w:p>
    <w:p>
      <w:pPr>
        <w:pStyle w:val="4"/>
        <w:keepNext w:val="0"/>
        <w:keepLines w:val="0"/>
        <w:widowControl/>
        <w:suppressLineNumbers w:val="0"/>
        <w:spacing w:before="600" w:beforeAutospacing="0" w:after="600" w:afterAutospacing="0" w:line="21" w:lineRule="atLeast"/>
        <w:ind w:left="-452" w:right="-452"/>
      </w:pPr>
      <w:r>
        <w:rPr>
          <w:rFonts w:hint="eastAsia" w:ascii="微软雅黑" w:hAnsi="微软雅黑" w:eastAsia="微软雅黑" w:cs="微软雅黑"/>
          <w:color w:val="433E3B"/>
          <w:sz w:val="24"/>
          <w:szCs w:val="24"/>
          <w:shd w:val="clear" w:fill="FFFFFF"/>
        </w:rPr>
        <w:t>（此件公开发布）</w:t>
      </w:r>
    </w:p>
    <w:p>
      <w:pPr>
        <w:pStyle w:val="4"/>
        <w:keepNext w:val="0"/>
        <w:keepLines w:val="0"/>
        <w:widowControl/>
        <w:suppressLineNumbers w:val="0"/>
        <w:spacing w:before="600" w:beforeAutospacing="0" w:after="600" w:afterAutospacing="0" w:line="21" w:lineRule="atLeast"/>
        <w:ind w:left="-452" w:right="-452"/>
        <w:jc w:val="center"/>
      </w:pPr>
      <w:r>
        <w:rPr>
          <w:rStyle w:val="7"/>
          <w:rFonts w:hint="eastAsia" w:ascii="微软雅黑" w:hAnsi="微软雅黑" w:eastAsia="微软雅黑" w:cs="微软雅黑"/>
          <w:b/>
          <w:color w:val="433E3B"/>
          <w:sz w:val="24"/>
          <w:szCs w:val="24"/>
          <w:shd w:val="clear" w:fill="FFFFFF"/>
        </w:rPr>
        <w:t>中央预算单位政府集中采购</w:t>
      </w:r>
    </w:p>
    <w:p>
      <w:pPr>
        <w:pStyle w:val="4"/>
        <w:keepNext w:val="0"/>
        <w:keepLines w:val="0"/>
        <w:widowControl/>
        <w:suppressLineNumbers w:val="0"/>
        <w:spacing w:before="600" w:beforeAutospacing="0" w:after="600" w:afterAutospacing="0" w:line="21" w:lineRule="atLeast"/>
        <w:ind w:left="-452" w:right="-452"/>
        <w:jc w:val="center"/>
      </w:pPr>
      <w:r>
        <w:rPr>
          <w:rStyle w:val="7"/>
          <w:rFonts w:hint="eastAsia" w:ascii="微软雅黑" w:hAnsi="微软雅黑" w:eastAsia="微软雅黑" w:cs="微软雅黑"/>
          <w:b/>
          <w:color w:val="433E3B"/>
          <w:sz w:val="24"/>
          <w:szCs w:val="24"/>
          <w:shd w:val="clear" w:fill="FFFFFF"/>
        </w:rPr>
        <w:t>目录及标准（2020年版）</w:t>
      </w:r>
    </w:p>
    <w:p>
      <w:pPr>
        <w:pStyle w:val="4"/>
        <w:keepNext w:val="0"/>
        <w:keepLines w:val="0"/>
        <w:widowControl/>
        <w:suppressLineNumbers w:val="0"/>
        <w:spacing w:before="600" w:beforeAutospacing="0" w:after="600" w:afterAutospacing="0" w:line="21" w:lineRule="atLeast"/>
        <w:ind w:left="-452" w:right="-452"/>
      </w:pPr>
      <w:r>
        <w:rPr>
          <w:rFonts w:hint="eastAsia" w:ascii="微软雅黑" w:hAnsi="微软雅黑" w:eastAsia="微软雅黑" w:cs="微软雅黑"/>
          <w:color w:val="433E3B"/>
          <w:sz w:val="24"/>
          <w:szCs w:val="24"/>
          <w:shd w:val="clear" w:fill="FFFFFF"/>
        </w:rPr>
        <w:t>一、集中采购机构采购项目</w:t>
      </w:r>
    </w:p>
    <w:p>
      <w:pPr>
        <w:pStyle w:val="4"/>
        <w:keepNext w:val="0"/>
        <w:keepLines w:val="0"/>
        <w:widowControl/>
        <w:suppressLineNumbers w:val="0"/>
        <w:spacing w:before="600" w:beforeAutospacing="0" w:after="600" w:afterAutospacing="0" w:line="21" w:lineRule="atLeast"/>
        <w:ind w:left="-452" w:right="-452"/>
      </w:pPr>
      <w:r>
        <w:rPr>
          <w:rFonts w:hint="eastAsia" w:ascii="微软雅黑" w:hAnsi="微软雅黑" w:eastAsia="微软雅黑" w:cs="微软雅黑"/>
          <w:color w:val="433E3B"/>
          <w:sz w:val="24"/>
          <w:szCs w:val="24"/>
          <w:shd w:val="clear" w:fill="FFFFFF"/>
        </w:rPr>
        <w:t>以下项目必须按规定委托集中采购机构代理采购：</w:t>
      </w:r>
    </w:p>
    <w:tbl>
      <w:tblPr>
        <w:tblW w:w="8322" w:type="dxa"/>
        <w:jc w:val="center"/>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524"/>
        <w:gridCol w:w="1130"/>
        <w:gridCol w:w="5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Style w:val="7"/>
                <w:rFonts w:hint="eastAsia" w:ascii="微软雅黑" w:hAnsi="微软雅黑" w:eastAsia="微软雅黑" w:cs="微软雅黑"/>
                <w:b/>
                <w:color w:val="433E3B"/>
                <w:sz w:val="24"/>
                <w:szCs w:val="24"/>
                <w:bdr w:val="none" w:color="auto" w:sz="0" w:space="0"/>
              </w:rPr>
              <w:t>目录项目</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Style w:val="7"/>
                <w:rFonts w:hint="eastAsia" w:ascii="微软雅黑" w:hAnsi="微软雅黑" w:eastAsia="微软雅黑" w:cs="微软雅黑"/>
                <w:b/>
                <w:color w:val="433E3B"/>
                <w:sz w:val="24"/>
                <w:szCs w:val="24"/>
                <w:bdr w:val="none" w:color="auto" w:sz="0" w:space="0"/>
              </w:rPr>
              <w:t>适用范围</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center"/>
            </w:pPr>
            <w:r>
              <w:rPr>
                <w:rStyle w:val="7"/>
                <w:rFonts w:hint="eastAsia" w:ascii="微软雅黑" w:hAnsi="微软雅黑" w:eastAsia="微软雅黑" w:cs="微软雅黑"/>
                <w:b/>
                <w:color w:val="433E3B"/>
                <w:sz w:val="24"/>
                <w:szCs w:val="24"/>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一、货物类</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jc w:val="left"/>
              <w:rPr>
                <w:rFonts w:hint="eastAsia" w:ascii="微软雅黑" w:hAnsi="微软雅黑" w:eastAsia="微软雅黑" w:cs="微软雅黑"/>
                <w:color w:val="433E3B"/>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台式计算机</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不包括图形工作站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rPr>
                <w:rFonts w:hint="eastAsia" w:eastAsia="微软雅黑"/>
                <w:lang w:val="en-US" w:eastAsia="zh-CN"/>
              </w:rPr>
            </w:pPr>
            <w:r>
              <w:rPr>
                <w:rFonts w:hint="eastAsia" w:ascii="微软雅黑" w:hAnsi="微软雅黑" w:eastAsia="微软雅黑" w:cs="微软雅黑"/>
                <w:color w:val="433E3B"/>
                <w:sz w:val="24"/>
                <w:szCs w:val="24"/>
                <w:bdr w:val="none" w:color="auto" w:sz="0" w:space="0"/>
              </w:rPr>
              <w:t>便携式</w:t>
            </w:r>
            <w:r>
              <w:rPr>
                <w:rFonts w:hint="eastAsia" w:ascii="微软雅黑" w:hAnsi="微软雅黑" w:eastAsia="微软雅黑" w:cs="微软雅黑"/>
                <w:color w:val="433E3B"/>
                <w:sz w:val="24"/>
                <w:szCs w:val="24"/>
                <w:bdr w:val="none" w:color="auto" w:sz="0" w:space="0"/>
                <w:lang w:val="en-US" w:eastAsia="zh-CN"/>
              </w:rPr>
              <w:t>计算机</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不包括移动工作站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计算机软件</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指非定制的通用商业软件，不包括行业专用软件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服务器</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10万元以下的系统集成项目除外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计算机网络设备</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指单项或批量金额在1万元以上的网络交换机、网络路由器、网络存储设备、网络安全产品，10万元以下的系统集成项目除外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复印机</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不包括印刷机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视频会议系统及会议室音频系统</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指单项或批量金额在20万元以上的视频会议多点控制器（MCU）、视频会议终端、视频会议系统管理平台、录播服务器、中控系统、会议室音频设备、信号处理设备、会议室视频显示设备、图像采集系统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多功能一体机</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指单项或批量金额在5万元以上的多功能一体机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打印设备</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指喷墨打印机、激光打印机、热式打印机，不包括针式打印机和条码专用打印机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扫描仪</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指平板式扫描仪、高速文档扫描仪、书刊扫描仪和胶片扫描仪，不包括档案、工程专用的大幅面扫描仪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center"/>
            </w:pPr>
            <w:r>
              <w:rPr>
                <w:rFonts w:hint="eastAsia" w:ascii="微软雅黑" w:hAnsi="微软雅黑" w:eastAsia="微软雅黑" w:cs="微软雅黑"/>
                <w:color w:val="433E3B"/>
                <w:sz w:val="24"/>
                <w:szCs w:val="24"/>
                <w:bdr w:val="none" w:color="auto" w:sz="0" w:space="0"/>
              </w:rPr>
              <w:t>投影仪</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指单项或批量金额在5万元以上的投影仪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center"/>
            </w:pPr>
            <w:r>
              <w:rPr>
                <w:rFonts w:hint="eastAsia" w:ascii="微软雅黑" w:hAnsi="微软雅黑" w:eastAsia="微软雅黑" w:cs="微软雅黑"/>
                <w:color w:val="433E3B"/>
                <w:sz w:val="24"/>
                <w:szCs w:val="24"/>
                <w:bdr w:val="none" w:color="auto" w:sz="0" w:space="0"/>
              </w:rPr>
              <w:t>复印纸</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both"/>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不包括彩色复印纸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center"/>
            </w:pPr>
            <w:r>
              <w:rPr>
                <w:rFonts w:hint="eastAsia" w:ascii="微软雅黑" w:hAnsi="微软雅黑" w:eastAsia="微软雅黑" w:cs="微软雅黑"/>
                <w:color w:val="433E3B"/>
                <w:sz w:val="24"/>
                <w:szCs w:val="24"/>
                <w:bdr w:val="none" w:color="auto" w:sz="0" w:space="0"/>
              </w:rPr>
              <w:t>打印用通用耗材</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both"/>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指非原厂生产的兼容耗材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center"/>
            </w:pPr>
            <w:r>
              <w:rPr>
                <w:rFonts w:hint="eastAsia" w:ascii="微软雅黑" w:hAnsi="微软雅黑" w:eastAsia="微软雅黑" w:cs="微软雅黑"/>
                <w:color w:val="433E3B"/>
                <w:sz w:val="24"/>
                <w:szCs w:val="24"/>
                <w:bdr w:val="none" w:color="auto" w:sz="0" w:space="0"/>
              </w:rPr>
              <w:t>乘用车</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指轿车、越野车、商务车、皮卡，包含新能源汽车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center"/>
            </w:pPr>
            <w:r>
              <w:rPr>
                <w:rFonts w:hint="eastAsia" w:ascii="微软雅黑" w:hAnsi="微软雅黑" w:eastAsia="微软雅黑" w:cs="微软雅黑"/>
                <w:color w:val="433E3B"/>
                <w:sz w:val="24"/>
                <w:szCs w:val="24"/>
                <w:bdr w:val="none" w:color="auto" w:sz="0" w:space="0"/>
              </w:rPr>
              <w:t>客车</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指小型客车、大中型客车，包含新能源汽车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center"/>
            </w:pPr>
            <w:r>
              <w:rPr>
                <w:rFonts w:hint="eastAsia" w:ascii="微软雅黑" w:hAnsi="微软雅黑" w:eastAsia="微软雅黑" w:cs="微软雅黑"/>
                <w:color w:val="433E3B"/>
                <w:sz w:val="24"/>
                <w:szCs w:val="24"/>
                <w:bdr w:val="none" w:color="auto" w:sz="0" w:space="0"/>
              </w:rPr>
              <w:t>电梯</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指单项或批量金额在100万元以上的电梯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center"/>
            </w:pPr>
            <w:r>
              <w:rPr>
                <w:rFonts w:hint="eastAsia" w:ascii="微软雅黑" w:hAnsi="微软雅黑" w:eastAsia="微软雅黑" w:cs="微软雅黑"/>
                <w:color w:val="433E3B"/>
                <w:sz w:val="24"/>
                <w:szCs w:val="24"/>
                <w:bdr w:val="none" w:color="auto" w:sz="0" w:space="0"/>
              </w:rPr>
              <w:t>空调机</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指除中央空调（包括冷水机组、溴化锂吸收式冷水机组、水源热泵机组等）、多联式空调（指由一台或多台室外机与多台室内机组成的空调机组）以外的空调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center"/>
            </w:pPr>
            <w:r>
              <w:rPr>
                <w:rFonts w:hint="eastAsia" w:ascii="微软雅黑" w:hAnsi="微软雅黑" w:eastAsia="微软雅黑" w:cs="微软雅黑"/>
                <w:color w:val="433E3B"/>
                <w:sz w:val="24"/>
                <w:szCs w:val="24"/>
                <w:bdr w:val="none" w:color="auto" w:sz="0" w:space="0"/>
              </w:rPr>
              <w:t>办公家具</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指单项或批量金额在20万元以上的木制或木制为主、钢制或钢制为主、铝制或铝制为主的家具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二、工程类</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jc w:val="left"/>
              <w:rPr>
                <w:rFonts w:hint="eastAsia" w:ascii="微软雅黑" w:hAnsi="微软雅黑" w:eastAsia="微软雅黑" w:cs="微软雅黑"/>
                <w:color w:val="433E3B"/>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限额内工程</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both"/>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指投资预算在120万元以上的建设工程，适用招标投标法的建设工程项目除外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装修工程</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both"/>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指投资预算在120万元以上，与建筑物、构筑物新建、改建、扩建无关的装修工程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拆除工程</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both"/>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指投资预算在120万元以上，与建筑物、构筑物新建、改建、扩建无关的拆除工程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修缮工程</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both"/>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指投资预算在120万元以上，与建筑物、构筑物新建、改建、扩建无关的修缮工程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三、服务类</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jc w:val="left"/>
              <w:rPr>
                <w:rFonts w:hint="eastAsia" w:ascii="微软雅黑" w:hAnsi="微软雅黑" w:eastAsia="微软雅黑" w:cs="微软雅黑"/>
                <w:color w:val="433E3B"/>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车辆维修保养及加油服务</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both"/>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指在京内执行的车辆维修保养及加油服务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机动车保险服务</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both"/>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jc w:val="left"/>
              <w:rPr>
                <w:rFonts w:hint="eastAsia" w:ascii="微软雅黑" w:hAnsi="微软雅黑" w:eastAsia="微软雅黑" w:cs="微软雅黑"/>
                <w:color w:val="433E3B"/>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印刷服务</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both"/>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指单项或批量金额在20万元以上的本单位文印部门（含本单位下设的出版部门）不能承担的票据、证书、期刊、文件、公文用纸、资料汇编、信封等印刷业务（不包括出版服务）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工程造价咨询服务</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both"/>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指单项或批量金额在20万元以上的在京内执行的工程造价咨询服务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工程监理服务</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both"/>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指单项或批量金额在20万元以上的在京内执行的建设工程（包括建筑物和构筑物的新建、改建、扩建、装修、拆除、修缮）项目的监理服务，适用招标投标法的工程监理服务项目除外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物业管理服务</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both"/>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指单项或批量金额在100万元以上的本单位物业管理服务部门不能承担的在京内执行的机关办公场所水电供应、设备运行、建筑物门窗保养维护、保洁、保安、绿化养护等项目，多单位共用物业的物业管理服务除外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center"/>
            </w:pPr>
            <w:r>
              <w:rPr>
                <w:rFonts w:hint="eastAsia" w:ascii="微软雅黑" w:hAnsi="微软雅黑" w:eastAsia="微软雅黑" w:cs="微软雅黑"/>
                <w:color w:val="433E3B"/>
                <w:sz w:val="24"/>
                <w:szCs w:val="24"/>
                <w:bdr w:val="none" w:color="auto" w:sz="0" w:space="0"/>
              </w:rPr>
              <w:t>云计算服务</w:t>
            </w:r>
          </w:p>
        </w:tc>
        <w:tc>
          <w:tcPr>
            <w:tcW w:w="1130" w:type="dxa"/>
            <w:shd w:val="clear"/>
            <w:tcMar>
              <w:top w:w="0" w:type="dxa"/>
              <w:left w:w="0" w:type="dxa"/>
              <w:bottom w:w="0" w:type="dxa"/>
              <w:right w:w="0" w:type="dxa"/>
            </w:tcMar>
            <w:vAlign w:val="center"/>
          </w:tcPr>
          <w:p>
            <w:pPr>
              <w:jc w:val="center"/>
              <w:rPr>
                <w:rFonts w:hint="eastAsia" w:ascii="微软雅黑" w:hAnsi="微软雅黑" w:eastAsia="微软雅黑" w:cs="微软雅黑"/>
                <w:color w:val="433E3B"/>
                <w:sz w:val="24"/>
                <w:szCs w:val="24"/>
              </w:rPr>
            </w:pP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指单项或批量金额在100万元以上的基础设施服务（Infrastructure as a Service，IaaS），包括云主机、块存储、对象存储等，系统集成项目除外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24"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center"/>
            </w:pPr>
            <w:r>
              <w:rPr>
                <w:rFonts w:hint="eastAsia" w:ascii="微软雅黑" w:hAnsi="微软雅黑" w:eastAsia="微软雅黑" w:cs="微软雅黑"/>
                <w:color w:val="433E3B"/>
                <w:sz w:val="24"/>
                <w:szCs w:val="24"/>
                <w:bdr w:val="none" w:color="auto" w:sz="0" w:space="0"/>
              </w:rPr>
              <w:t>互联网接入服务</w:t>
            </w:r>
          </w:p>
        </w:tc>
        <w:tc>
          <w:tcPr>
            <w:tcW w:w="1130" w:type="dxa"/>
            <w:shd w:val="clear"/>
            <w:tcMar>
              <w:top w:w="0" w:type="dxa"/>
              <w:left w:w="0" w:type="dxa"/>
              <w:bottom w:w="0" w:type="dxa"/>
              <w:right w:w="0" w:type="dxa"/>
            </w:tcMar>
            <w:vAlign w:val="center"/>
          </w:tcPr>
          <w:p>
            <w:pPr>
              <w:pStyle w:val="4"/>
              <w:keepNext w:val="0"/>
              <w:keepLines w:val="0"/>
              <w:widowControl/>
              <w:suppressLineNumbers w:val="0"/>
              <w:spacing w:line="21" w:lineRule="atLeast"/>
              <w:ind w:left="0" w:leftChars="0" w:firstLine="0" w:firstLineChars="0"/>
              <w:jc w:val="both"/>
            </w:pPr>
            <w:r>
              <w:rPr>
                <w:rFonts w:hint="eastAsia" w:ascii="微软雅黑" w:hAnsi="微软雅黑" w:eastAsia="微软雅黑" w:cs="微软雅黑"/>
                <w:color w:val="433E3B"/>
                <w:sz w:val="24"/>
                <w:szCs w:val="24"/>
                <w:bdr w:val="none" w:color="auto" w:sz="0" w:space="0"/>
              </w:rPr>
              <w:t>京内单位</w:t>
            </w:r>
          </w:p>
        </w:tc>
        <w:tc>
          <w:tcPr>
            <w:tcW w:w="5668" w:type="dxa"/>
            <w:shd w:val="clear"/>
            <w:tcMar>
              <w:top w:w="0" w:type="dxa"/>
              <w:left w:w="0" w:type="dxa"/>
              <w:bottom w:w="0" w:type="dxa"/>
              <w:right w:w="0" w:type="dxa"/>
            </w:tcMar>
            <w:vAlign w:val="center"/>
          </w:tcPr>
          <w:p>
            <w:pPr>
              <w:pStyle w:val="4"/>
              <w:keepNext w:val="0"/>
              <w:keepLines w:val="0"/>
              <w:widowControl/>
              <w:suppressLineNumbers w:val="0"/>
              <w:spacing w:line="21" w:lineRule="atLeast"/>
              <w:jc w:val="left"/>
            </w:pPr>
            <w:r>
              <w:rPr>
                <w:rFonts w:hint="eastAsia" w:ascii="微软雅黑" w:hAnsi="微软雅黑" w:eastAsia="微软雅黑" w:cs="微软雅黑"/>
                <w:color w:val="433E3B"/>
                <w:sz w:val="24"/>
                <w:szCs w:val="24"/>
                <w:bdr w:val="none" w:color="auto" w:sz="0" w:space="0"/>
              </w:rPr>
              <w:t>指单项或批量金额在20万元以上的互联网接入服务</w:t>
            </w:r>
          </w:p>
        </w:tc>
      </w:tr>
    </w:tbl>
    <w:p>
      <w:pPr>
        <w:pStyle w:val="4"/>
        <w:keepNext w:val="0"/>
        <w:keepLines w:val="0"/>
        <w:widowControl/>
        <w:suppressLineNumbers w:val="0"/>
        <w:spacing w:before="600" w:beforeAutospacing="0" w:after="600" w:afterAutospacing="0" w:line="21" w:lineRule="atLeast"/>
        <w:ind w:left="-452" w:right="-452"/>
      </w:pPr>
      <w:r>
        <w:rPr>
          <w:rFonts w:hint="eastAsia" w:ascii="微软雅黑" w:hAnsi="微软雅黑" w:eastAsia="微软雅黑" w:cs="微软雅黑"/>
          <w:color w:val="433E3B"/>
          <w:sz w:val="24"/>
          <w:szCs w:val="24"/>
          <w:shd w:val="clear" w:fill="FFFFFF"/>
        </w:rPr>
        <w:t>注：①表中“适用范围”栏中未注明的，均适用于所有中央预算单位。</w:t>
      </w:r>
    </w:p>
    <w:p>
      <w:pPr>
        <w:pStyle w:val="4"/>
        <w:keepNext w:val="0"/>
        <w:keepLines w:val="0"/>
        <w:widowControl/>
        <w:suppressLineNumbers w:val="0"/>
        <w:spacing w:before="600" w:beforeAutospacing="0" w:after="600" w:afterAutospacing="0" w:line="21" w:lineRule="atLeast"/>
        <w:ind w:left="-452" w:right="-452" w:firstLine="960" w:firstLineChars="400"/>
      </w:pPr>
      <w:r>
        <w:rPr>
          <w:rFonts w:hint="eastAsia" w:ascii="微软雅黑" w:hAnsi="微软雅黑" w:eastAsia="微软雅黑" w:cs="微软雅黑"/>
          <w:color w:val="433E3B"/>
          <w:sz w:val="24"/>
          <w:szCs w:val="24"/>
          <w:shd w:val="clear" w:fill="FFFFFF"/>
        </w:rPr>
        <w:t>②表中所列项目不包括部门集中采购项目和中央高校、科研院所采购的科研仪器设备。</w:t>
      </w:r>
    </w:p>
    <w:p>
      <w:pPr>
        <w:pStyle w:val="4"/>
        <w:keepNext w:val="0"/>
        <w:keepLines w:val="0"/>
        <w:widowControl/>
        <w:suppressLineNumbers w:val="0"/>
        <w:spacing w:before="600" w:beforeAutospacing="0" w:after="600" w:afterAutospacing="0" w:line="21" w:lineRule="atLeast"/>
        <w:ind w:left="-452" w:right="-452"/>
      </w:pPr>
      <w:r>
        <w:rPr>
          <w:rFonts w:hint="eastAsia" w:ascii="微软雅黑" w:hAnsi="微软雅黑" w:eastAsia="微软雅黑" w:cs="微软雅黑"/>
          <w:color w:val="433E3B"/>
          <w:sz w:val="24"/>
          <w:szCs w:val="24"/>
          <w:shd w:val="clear" w:fill="FFFFFF"/>
        </w:rPr>
        <w:t>二、部门集中采购项目</w:t>
      </w:r>
    </w:p>
    <w:p>
      <w:pPr>
        <w:pStyle w:val="4"/>
        <w:keepNext w:val="0"/>
        <w:keepLines w:val="0"/>
        <w:widowControl/>
        <w:suppressLineNumbers w:val="0"/>
        <w:spacing w:before="600" w:beforeAutospacing="0" w:after="600" w:afterAutospacing="0" w:line="21" w:lineRule="atLeast"/>
        <w:ind w:left="-452" w:right="-452"/>
      </w:pPr>
      <w:r>
        <w:rPr>
          <w:rFonts w:hint="eastAsia" w:ascii="微软雅黑" w:hAnsi="微软雅黑" w:eastAsia="微软雅黑" w:cs="微软雅黑"/>
          <w:color w:val="433E3B"/>
          <w:sz w:val="24"/>
          <w:szCs w:val="24"/>
          <w:shd w:val="clear" w:fill="FFFFFF"/>
        </w:rPr>
        <w:t>部门集中采购项目是指部门或系统有特殊要求，需要由部门或系统统一配置的货物、工程和服务类专用项目。各中央预算单位可按实际工作需要确定，报财政部备案后组织实施采购。</w:t>
      </w:r>
    </w:p>
    <w:p>
      <w:pPr>
        <w:pStyle w:val="4"/>
        <w:keepNext w:val="0"/>
        <w:keepLines w:val="0"/>
        <w:widowControl/>
        <w:suppressLineNumbers w:val="0"/>
        <w:spacing w:before="600" w:beforeAutospacing="0" w:after="600" w:afterAutospacing="0" w:line="21" w:lineRule="atLeast"/>
        <w:ind w:left="-452" w:right="-452"/>
      </w:pPr>
      <w:r>
        <w:rPr>
          <w:rFonts w:hint="eastAsia" w:ascii="微软雅黑" w:hAnsi="微软雅黑" w:eastAsia="微软雅黑" w:cs="微软雅黑"/>
          <w:color w:val="433E3B"/>
          <w:sz w:val="24"/>
          <w:szCs w:val="24"/>
          <w:shd w:val="clear" w:fill="FFFFFF"/>
        </w:rPr>
        <w:t>三、分散采购限额标准</w:t>
      </w:r>
    </w:p>
    <w:p>
      <w:pPr>
        <w:pStyle w:val="4"/>
        <w:keepNext w:val="0"/>
        <w:keepLines w:val="0"/>
        <w:widowControl/>
        <w:suppressLineNumbers w:val="0"/>
        <w:spacing w:before="600" w:beforeAutospacing="0" w:after="600" w:afterAutospacing="0" w:line="21" w:lineRule="atLeast"/>
        <w:ind w:left="-452" w:right="-452"/>
      </w:pPr>
      <w:r>
        <w:rPr>
          <w:rFonts w:hint="eastAsia" w:ascii="微软雅黑" w:hAnsi="微软雅黑" w:eastAsia="微软雅黑" w:cs="微软雅黑"/>
          <w:color w:val="433E3B"/>
          <w:sz w:val="24"/>
          <w:szCs w:val="24"/>
          <w:shd w:val="clear" w:fill="FFFFFF"/>
        </w:rPr>
        <w:t>除集中采购机构采购项目和部门集中采购项目外，各部门自行采购单项或批量金额达到100万元以上的货物和服务的项目、120万元以上的工程项目应按《中华人民共和国政府采购法》和《中华人民共和国招标投标法》有关规定执行。</w:t>
      </w:r>
    </w:p>
    <w:p>
      <w:pPr>
        <w:pStyle w:val="4"/>
        <w:keepNext w:val="0"/>
        <w:keepLines w:val="0"/>
        <w:widowControl/>
        <w:suppressLineNumbers w:val="0"/>
        <w:spacing w:before="600" w:beforeAutospacing="0" w:after="600" w:afterAutospacing="0" w:line="21" w:lineRule="atLeast"/>
        <w:ind w:left="-452" w:right="-452"/>
      </w:pPr>
      <w:r>
        <w:rPr>
          <w:rFonts w:hint="eastAsia" w:ascii="微软雅黑" w:hAnsi="微软雅黑" w:eastAsia="微软雅黑" w:cs="微软雅黑"/>
          <w:color w:val="433E3B"/>
          <w:sz w:val="24"/>
          <w:szCs w:val="24"/>
          <w:shd w:val="clear" w:fill="FFFFFF"/>
        </w:rPr>
        <w:t>四、公开招标数额标准</w:t>
      </w:r>
    </w:p>
    <w:p>
      <w:pPr>
        <w:pStyle w:val="4"/>
        <w:keepNext w:val="0"/>
        <w:keepLines w:val="0"/>
        <w:widowControl/>
        <w:suppressLineNumbers w:val="0"/>
        <w:spacing w:before="600" w:beforeAutospacing="0" w:after="600" w:afterAutospacing="0" w:line="21" w:lineRule="atLeast"/>
        <w:ind w:left="-452" w:right="-452"/>
      </w:pPr>
      <w:r>
        <w:rPr>
          <w:rFonts w:hint="eastAsia" w:ascii="微软雅黑" w:hAnsi="微软雅黑" w:eastAsia="微软雅黑" w:cs="微软雅黑"/>
          <w:color w:val="433E3B"/>
          <w:sz w:val="24"/>
          <w:szCs w:val="24"/>
          <w:shd w:val="clear" w:fill="FFFFFF"/>
        </w:rPr>
        <w:t>政府采购货物或服务项目，单项采购金额达到200万元以上的，必须采用公开招标方式。政府采购工程以及与工程建设有关的货物、服务公开招标数额标准按照国务院有关规定执行。</w:t>
      </w:r>
    </w:p>
    <w:p>
      <w:pPr>
        <w:keepNext w:val="0"/>
        <w:keepLines w:val="0"/>
        <w:widowControl/>
        <w:suppressLineNumbers w:val="0"/>
        <w:pBdr>
          <w:top w:val="none" w:color="auto" w:sz="0" w:space="0"/>
        </w:pBdr>
        <w:shd w:val="clear" w:fill="FFFFFF"/>
        <w:spacing w:before="600" w:beforeAutospacing="0" w:after="600" w:afterAutospacing="0" w:line="21" w:lineRule="atLeast"/>
        <w:ind w:left="-452" w:right="-452"/>
        <w:jc w:val="left"/>
      </w:pPr>
      <w:r>
        <w:rPr>
          <w:rFonts w:hint="eastAsia" w:ascii="微软雅黑" w:hAnsi="微软雅黑" w:eastAsia="微软雅黑" w:cs="微软雅黑"/>
          <w:color w:val="433E3B"/>
          <w:kern w:val="0"/>
          <w:sz w:val="24"/>
          <w:szCs w:val="24"/>
          <w:shd w:val="clear" w:fill="FFFFFF"/>
          <w:lang w:val="en-US" w:eastAsia="zh-CN" w:bidi="ar"/>
        </w:rPr>
        <w:t>（编辑：管理员）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8E3C6E"/>
    <w:rsid w:val="11B14679"/>
    <w:rsid w:val="17565CE3"/>
    <w:rsid w:val="1D542D34"/>
    <w:rsid w:val="2E366503"/>
    <w:rsid w:val="307863EC"/>
    <w:rsid w:val="356419A5"/>
    <w:rsid w:val="47E27499"/>
    <w:rsid w:val="4D014027"/>
    <w:rsid w:val="60567363"/>
    <w:rsid w:val="6DC34129"/>
    <w:rsid w:val="75582CAD"/>
    <w:rsid w:val="7A244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126" w:firstLineChars="200"/>
      <w:jc w:val="both"/>
    </w:pPr>
    <w:rPr>
      <w:rFonts w:ascii="Times New Roman" w:hAnsi="Times New Roman" w:eastAsia="仿宋" w:cstheme="minorBidi"/>
      <w:kern w:val="2"/>
      <w:sz w:val="21"/>
      <w:szCs w:val="22"/>
      <w:lang w:val="en-US" w:eastAsia="zh-CN" w:bidi="ar-SA"/>
    </w:rPr>
  </w:style>
  <w:style w:type="paragraph" w:styleId="2">
    <w:name w:val="heading 1"/>
    <w:basedOn w:val="1"/>
    <w:next w:val="1"/>
    <w:link w:val="14"/>
    <w:qFormat/>
    <w:uiPriority w:val="0"/>
    <w:pPr>
      <w:spacing w:before="300" w:beforeAutospacing="0" w:after="150" w:afterAutospacing="0" w:line="17" w:lineRule="atLeast"/>
      <w:ind w:left="0" w:right="0"/>
      <w:jc w:val="left"/>
    </w:pPr>
    <w:rPr>
      <w:rFonts w:hint="eastAsia" w:ascii="宋体" w:hAnsi="宋体" w:eastAsia="宋体" w:cs="宋体"/>
      <w:b/>
      <w:bCs/>
      <w:kern w:val="44"/>
      <w:sz w:val="54"/>
      <w:szCs w:val="54"/>
      <w:lang w:val="en-US" w:eastAsia="zh-CN" w:bidi="ar"/>
    </w:rPr>
  </w:style>
  <w:style w:type="paragraph" w:styleId="3">
    <w:name w:val="heading 2"/>
    <w:basedOn w:val="1"/>
    <w:next w:val="1"/>
    <w:semiHidden/>
    <w:unhideWhenUsed/>
    <w:qFormat/>
    <w:uiPriority w:val="0"/>
    <w:pPr>
      <w:spacing w:before="300" w:beforeAutospacing="0" w:after="150" w:afterAutospacing="0" w:line="17" w:lineRule="atLeast"/>
      <w:jc w:val="left"/>
    </w:pPr>
    <w:rPr>
      <w:rFonts w:hint="eastAsia" w:ascii="宋体" w:hAnsi="宋体" w:eastAsia="宋体" w:cs="宋体"/>
      <w:b/>
      <w:kern w:val="0"/>
      <w:sz w:val="45"/>
      <w:szCs w:val="45"/>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0" w:after="15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HTML Definition"/>
    <w:basedOn w:val="6"/>
    <w:uiPriority w:val="0"/>
    <w:rPr>
      <w:i/>
    </w:rPr>
  </w:style>
  <w:style w:type="character" w:styleId="10">
    <w:name w:val="Hyperlink"/>
    <w:basedOn w:val="6"/>
    <w:uiPriority w:val="0"/>
    <w:rPr>
      <w:color w:val="333333"/>
      <w:u w:val="none"/>
    </w:rPr>
  </w:style>
  <w:style w:type="character" w:styleId="11">
    <w:name w:val="HTML Code"/>
    <w:basedOn w:val="6"/>
    <w:uiPriority w:val="0"/>
    <w:rPr>
      <w:rFonts w:hint="default" w:ascii="Consolas" w:hAnsi="Consolas" w:eastAsia="Consolas" w:cs="Consolas"/>
      <w:color w:val="C7254E"/>
      <w:sz w:val="21"/>
      <w:szCs w:val="21"/>
      <w:bdr w:val="none" w:color="auto" w:sz="0" w:space="0"/>
      <w:shd w:val="clear" w:fill="F9F2F4"/>
    </w:rPr>
  </w:style>
  <w:style w:type="character" w:styleId="12">
    <w:name w:val="HTML Keyboard"/>
    <w:basedOn w:val="6"/>
    <w:uiPriority w:val="0"/>
    <w:rPr>
      <w:rFonts w:hint="default" w:ascii="Consolas" w:hAnsi="Consolas" w:eastAsia="Consolas" w:cs="Consolas"/>
      <w:color w:val="FFFFFF"/>
      <w:sz w:val="21"/>
      <w:szCs w:val="21"/>
      <w:bdr w:val="none" w:color="auto" w:sz="0" w:space="0"/>
      <w:shd w:val="clear" w:fill="333333"/>
    </w:rPr>
  </w:style>
  <w:style w:type="character" w:styleId="13">
    <w:name w:val="HTML Sample"/>
    <w:basedOn w:val="6"/>
    <w:uiPriority w:val="0"/>
    <w:rPr>
      <w:rFonts w:ascii="Consolas" w:hAnsi="Consolas" w:eastAsia="Consolas" w:cs="Consolas"/>
      <w:sz w:val="21"/>
      <w:szCs w:val="21"/>
    </w:rPr>
  </w:style>
  <w:style w:type="character" w:customStyle="1" w:styleId="14">
    <w:name w:val="标题 1 字符"/>
    <w:link w:val="2"/>
    <w:qFormat/>
    <w:uiPriority w:val="0"/>
    <w:rPr>
      <w:rFonts w:ascii="Times New Roman" w:hAnsi="Times New Roman" w:eastAsia="宋体"/>
      <w:b/>
      <w:bCs/>
      <w:kern w:val="44"/>
      <w:sz w:val="44"/>
      <w:szCs w:val="44"/>
    </w:rPr>
  </w:style>
  <w:style w:type="paragraph" w:customStyle="1" w:styleId="15">
    <w:name w:val="招标正文"/>
    <w:basedOn w:val="1"/>
    <w:uiPriority w:val="0"/>
    <w:pPr>
      <w:spacing w:line="400" w:lineRule="exact"/>
      <w:ind w:firstLine="2126" w:firstLineChars="200"/>
    </w:pPr>
    <w:rPr>
      <w:rFonts w:ascii="Times New Roman" w:hAnsi="Times New Roman" w:eastAsia="仿宋"/>
      <w:sz w:val="24"/>
    </w:rPr>
  </w:style>
  <w:style w:type="paragraph" w:customStyle="1" w:styleId="16">
    <w:name w:val="招标大标题"/>
    <w:basedOn w:val="15"/>
    <w:next w:val="15"/>
    <w:uiPriority w:val="0"/>
    <w:pPr>
      <w:spacing w:line="500" w:lineRule="exact"/>
      <w:ind w:firstLine="0" w:firstLineChars="0"/>
      <w:jc w:val="center"/>
    </w:pPr>
    <w:rPr>
      <w:rFonts w:eastAsia="宋体"/>
      <w:b/>
      <w:sz w:val="44"/>
    </w:rPr>
  </w:style>
  <w:style w:type="paragraph" w:customStyle="1" w:styleId="17">
    <w:name w:val="招标表格"/>
    <w:basedOn w:val="15"/>
    <w:next w:val="15"/>
    <w:uiPriority w:val="0"/>
    <w:pPr>
      <w:spacing w:line="240" w:lineRule="auto"/>
      <w:ind w:firstLine="0" w:firstLineChars="0"/>
      <w:jc w:val="left"/>
    </w:pPr>
    <w:rPr>
      <w:sz w:val="21"/>
    </w:rPr>
  </w:style>
  <w:style w:type="paragraph" w:customStyle="1" w:styleId="18">
    <w:name w:val="标书表格字体格式"/>
    <w:next w:val="1"/>
    <w:link w:val="19"/>
    <w:uiPriority w:val="0"/>
    <w:rPr>
      <w:rFonts w:ascii="Times New Roman" w:hAnsi="Times New Roman" w:eastAsia="仿宋" w:cstheme="minorBidi"/>
      <w:sz w:val="21"/>
      <w:szCs w:val="24"/>
      <w:lang w:val="en-US" w:eastAsia="zh-CN" w:bidi="ar-SA"/>
    </w:rPr>
  </w:style>
  <w:style w:type="character" w:customStyle="1" w:styleId="19">
    <w:name w:val="标书表格字体格式 Char"/>
    <w:link w:val="18"/>
    <w:locked/>
    <w:uiPriority w:val="0"/>
    <w:rPr>
      <w:rFonts w:ascii="Times New Roman" w:hAnsi="Times New Roman" w:eastAsia="仿宋"/>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6</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2020-01-13T05:46:08Z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