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rFonts w:ascii="宋体" w:hAnsi="宋体" w:eastAsia="宋体" w:cs="宋体"/>
        </w:rPr>
      </w:pPr>
      <w:bookmarkStart w:id="0" w:name="_Toc1483"/>
      <w:r>
        <w:rPr>
          <w:rFonts w:hint="eastAsia" w:ascii="宋体" w:hAnsi="宋体" w:eastAsia="宋体" w:cs="宋体"/>
        </w:rPr>
        <w:t>第五章  评审方法与评审标准</w:t>
      </w:r>
      <w:bookmarkEnd w:id="0"/>
    </w:p>
    <w:p>
      <w:pPr>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项目采用综合评分法，由磋商小组对所有有效响应文件进行详细的评分，采用百分制计分方法。评标时，磋商小组各成员遵循公平、公正、择优原则，独立对每个有效供应商的响应文件进行评价、打分，各个供应商的最终得分为汇总计算所有磋商小组成员所评定分值的平均值（保留2位小数）。磋商小组</w:t>
      </w:r>
      <w:r>
        <w:rPr>
          <w:rFonts w:hint="eastAsia" w:ascii="宋体" w:hAnsi="宋体" w:cs="宋体"/>
          <w:spacing w:val="-6"/>
          <w:sz w:val="24"/>
        </w:rPr>
        <w:t>按评审后最终综合得分由高到低顺序排列名次，并</w:t>
      </w:r>
      <w:r>
        <w:rPr>
          <w:rFonts w:hint="eastAsia" w:ascii="宋体" w:hAnsi="宋体" w:cs="宋体"/>
          <w:sz w:val="24"/>
        </w:rPr>
        <w:t>推荐出成交人</w:t>
      </w:r>
      <w:r>
        <w:rPr>
          <w:rFonts w:hint="eastAsia" w:ascii="宋体" w:hAnsi="宋体" w:cs="宋体"/>
          <w:spacing w:val="-6"/>
          <w:sz w:val="24"/>
        </w:rPr>
        <w:t>。如得分相同的，按投标报价由低到高顺序</w:t>
      </w:r>
      <w:r>
        <w:rPr>
          <w:rFonts w:hint="eastAsia" w:ascii="宋体" w:hAnsi="宋体" w:cs="宋体"/>
          <w:sz w:val="24"/>
        </w:rPr>
        <w:t>推荐成交人。得分且投标报价相同的并列。响应文件满足采购文件全部实质性要求，且按照评审因素的量化指标评审得分最高的供应商为排名第一的成交候选人。</w:t>
      </w:r>
    </w:p>
    <w:p>
      <w:pPr>
        <w:widowControl/>
        <w:spacing w:line="400" w:lineRule="exact"/>
        <w:ind w:firstLine="482" w:firstLineChars="200"/>
        <w:jc w:val="left"/>
      </w:pPr>
      <w:r>
        <w:rPr>
          <w:rFonts w:hint="eastAsia" w:ascii="宋体" w:hAnsi="宋体" w:cs="宋体"/>
          <w:b/>
          <w:bCs/>
          <w:kern w:val="0"/>
          <w:sz w:val="24"/>
          <w:lang w:bidi="ar"/>
        </w:rPr>
        <w:t>本项目核心产品为：户外钻笼。</w:t>
      </w:r>
      <w:r>
        <w:rPr>
          <w:rFonts w:hint="eastAsia" w:ascii="宋体" w:hAnsi="宋体" w:cs="宋体"/>
          <w:kern w:val="0"/>
          <w:sz w:val="24"/>
          <w:lang w:bidi="ar"/>
        </w:rPr>
        <w:t>核心产品提供相同品牌产品且通过资格审查、符合性审查的不同供应商参加同一合同项下投标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pPr>
        <w:snapToGrid w:val="0"/>
        <w:spacing w:line="400" w:lineRule="exact"/>
        <w:ind w:firstLine="446" w:firstLineChars="196"/>
        <w:rPr>
          <w:rFonts w:ascii="宋体" w:hAnsi="宋体" w:cs="宋体"/>
          <w:spacing w:val="-6"/>
          <w:sz w:val="24"/>
        </w:rPr>
      </w:pPr>
      <w:r>
        <w:rPr>
          <w:rFonts w:hint="eastAsia" w:ascii="宋体" w:hAnsi="宋体" w:cs="宋体"/>
          <w:spacing w:val="-6"/>
          <w:sz w:val="24"/>
        </w:rPr>
        <w:t>对于小微企业提供本企业或者其他小微企业制造的产品进行价格扣除：对小型和微型企业产品的价格给予10%的扣除用扣除后的价格参与评审，具体扣除比例由采购人确定。属于残疾人福利性单位的视同小微企业，给予价格扣除。小微企业提供大中型企业制造的货物的，视同为大中型企业，不给予价格扣除。</w:t>
      </w:r>
    </w:p>
    <w:tbl>
      <w:tblPr>
        <w:tblStyle w:val="6"/>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09"/>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26" w:type="dxa"/>
            <w:shd w:val="clear" w:color="auto" w:fill="auto"/>
            <w:vAlign w:val="center"/>
          </w:tcPr>
          <w:p>
            <w:pPr>
              <w:widowControl/>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评分项目</w:t>
            </w:r>
          </w:p>
        </w:tc>
        <w:tc>
          <w:tcPr>
            <w:tcW w:w="809" w:type="dxa"/>
            <w:shd w:val="clear" w:color="auto" w:fill="auto"/>
            <w:vAlign w:val="center"/>
          </w:tcPr>
          <w:p>
            <w:pPr>
              <w:widowControl/>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分值</w:t>
            </w:r>
          </w:p>
        </w:tc>
        <w:tc>
          <w:tcPr>
            <w:tcW w:w="6792" w:type="dxa"/>
            <w:shd w:val="clear" w:color="auto" w:fill="auto"/>
            <w:vAlign w:val="center"/>
          </w:tcPr>
          <w:p>
            <w:pPr>
              <w:widowControl/>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价格</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30</w:t>
            </w:r>
          </w:p>
        </w:tc>
        <w:tc>
          <w:tcPr>
            <w:tcW w:w="6792" w:type="dxa"/>
            <w:shd w:val="clear" w:color="auto" w:fill="auto"/>
            <w:vAlign w:val="center"/>
          </w:tcPr>
          <w:p>
            <w:pPr>
              <w:pStyle w:val="8"/>
              <w:spacing w:line="240" w:lineRule="auto"/>
              <w:ind w:firstLine="0" w:firstLineChars="0"/>
              <w:rPr>
                <w:rFonts w:ascii="宋体" w:hAnsi="宋体" w:cs="宋体"/>
                <w:color w:val="auto"/>
                <w:sz w:val="24"/>
                <w:szCs w:val="24"/>
                <w:highlight w:val="none"/>
              </w:rPr>
            </w:pPr>
            <w:bookmarkStart w:id="1" w:name="_Hlk297273538"/>
            <w:r>
              <w:rPr>
                <w:rFonts w:hint="eastAsia" w:ascii="宋体" w:hAnsi="宋体" w:cs="宋体"/>
                <w:color w:val="auto"/>
                <w:sz w:val="24"/>
                <w:szCs w:val="24"/>
                <w:highlight w:val="none"/>
              </w:rPr>
              <w:t>1.确定无效投标报价：超过项目预算（或最高限价）的投标报价为无效投标报价，不予评审。</w:t>
            </w:r>
          </w:p>
          <w:p>
            <w:pPr>
              <w:pStyle w:val="8"/>
              <w:spacing w:line="24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2.确定评标基准价：评标基准价=满足采购文件要求的最低投标报价，得分30分。</w:t>
            </w:r>
          </w:p>
          <w:p>
            <w:pPr>
              <w:pStyle w:val="8"/>
              <w:spacing w:line="24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3.投标报价得分=（评标基准价/投标最终报价）×30%×100，精确到小数点后两位。</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综合实力</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6792" w:type="dxa"/>
            <w:shd w:val="clear" w:color="auto" w:fill="auto"/>
            <w:vAlign w:val="center"/>
          </w:tcPr>
          <w:p>
            <w:pPr>
              <w:pStyle w:val="8"/>
              <w:spacing w:line="240" w:lineRule="auto"/>
              <w:ind w:firstLine="0" w:firstLineChars="0"/>
              <w:rPr>
                <w:rFonts w:ascii="宋体" w:hAnsi="宋体" w:cs="宋体"/>
                <w:b w:val="0"/>
                <w:bCs w:val="0"/>
                <w:color w:val="auto"/>
                <w:sz w:val="24"/>
                <w:szCs w:val="24"/>
                <w:highlight w:val="none"/>
              </w:rPr>
            </w:pPr>
            <w:r>
              <w:rPr>
                <w:rFonts w:hint="eastAsia" w:ascii="宋体" w:hAnsi="宋体" w:cs="宋体"/>
                <w:color w:val="auto"/>
                <w:sz w:val="24"/>
                <w:szCs w:val="24"/>
                <w:highlight w:val="none"/>
              </w:rPr>
              <w:t>1.核心产品制造商</w:t>
            </w:r>
            <w:r>
              <w:rPr>
                <w:rFonts w:hint="eastAsia" w:ascii="宋体" w:hAnsi="宋体" w:cs="宋体"/>
                <w:b w:val="0"/>
                <w:bCs w:val="0"/>
                <w:color w:val="auto"/>
                <w:sz w:val="24"/>
                <w:szCs w:val="24"/>
                <w:highlight w:val="none"/>
                <w:lang w:val="en-US" w:eastAsia="zh-CN"/>
              </w:rPr>
              <w:t>或生产商</w:t>
            </w:r>
            <w:r>
              <w:rPr>
                <w:rFonts w:hint="eastAsia" w:ascii="宋体" w:hAnsi="宋体" w:cs="宋体"/>
                <w:b w:val="0"/>
                <w:bCs w:val="0"/>
                <w:color w:val="auto"/>
                <w:sz w:val="24"/>
                <w:szCs w:val="24"/>
                <w:highlight w:val="none"/>
              </w:rPr>
              <w:t>具有中国环境标志产品认证证书的得2分。</w:t>
            </w:r>
          </w:p>
          <w:p>
            <w:pPr>
              <w:pStyle w:val="8"/>
              <w:spacing w:line="240" w:lineRule="auto"/>
              <w:ind w:firstLine="0" w:firstLineChars="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2.核心产品制造商</w:t>
            </w:r>
            <w:r>
              <w:rPr>
                <w:rFonts w:hint="eastAsia" w:ascii="宋体" w:hAnsi="宋体" w:cs="宋体"/>
                <w:b w:val="0"/>
                <w:bCs w:val="0"/>
                <w:color w:val="auto"/>
                <w:sz w:val="24"/>
                <w:szCs w:val="24"/>
                <w:highlight w:val="none"/>
                <w:lang w:val="en-US" w:eastAsia="zh-CN"/>
              </w:rPr>
              <w:t>或生产商</w:t>
            </w:r>
            <w:r>
              <w:rPr>
                <w:rFonts w:hint="eastAsia" w:ascii="宋体" w:hAnsi="宋体" w:cs="宋体"/>
                <w:b w:val="0"/>
                <w:bCs w:val="0"/>
                <w:color w:val="auto"/>
                <w:sz w:val="24"/>
                <w:szCs w:val="24"/>
                <w:highlight w:val="none"/>
              </w:rPr>
              <w:t>具有质量管理体系认证证书、环境管理体系认证证书、职业健康安全管理体系认证证书</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认证内容包含多功能玩乐架或滑梯</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，以上证书有一项得1分，最高得3分。</w:t>
            </w:r>
          </w:p>
          <w:p>
            <w:pPr>
              <w:pStyle w:val="8"/>
              <w:spacing w:line="240" w:lineRule="auto"/>
              <w:ind w:firstLine="0" w:firstLineChars="0"/>
              <w:rPr>
                <w:rFonts w:ascii="宋体" w:hAnsi="宋体" w:cs="宋体"/>
                <w:color w:val="auto"/>
                <w:sz w:val="24"/>
                <w:szCs w:val="24"/>
                <w:highlight w:val="none"/>
              </w:rPr>
            </w:pPr>
            <w:r>
              <w:rPr>
                <w:rFonts w:hint="eastAsia" w:ascii="宋体" w:hAnsi="宋体" w:cs="宋体"/>
                <w:b w:val="0"/>
                <w:bCs w:val="0"/>
                <w:color w:val="auto"/>
                <w:sz w:val="24"/>
                <w:szCs w:val="24"/>
                <w:highlight w:val="none"/>
              </w:rPr>
              <w:t>3.核心产品制造商</w:t>
            </w:r>
            <w:r>
              <w:rPr>
                <w:rFonts w:hint="eastAsia" w:ascii="宋体" w:hAnsi="宋体" w:cs="宋体"/>
                <w:b w:val="0"/>
                <w:bCs w:val="0"/>
                <w:color w:val="auto"/>
                <w:sz w:val="24"/>
                <w:szCs w:val="24"/>
                <w:highlight w:val="none"/>
                <w:lang w:val="en-US" w:eastAsia="zh-CN"/>
              </w:rPr>
              <w:t>或生产商</w:t>
            </w:r>
            <w:r>
              <w:rPr>
                <w:rFonts w:hint="eastAsia" w:ascii="宋体" w:hAnsi="宋体" w:cs="宋体"/>
                <w:b w:val="0"/>
                <w:bCs w:val="0"/>
                <w:color w:val="auto"/>
                <w:sz w:val="24"/>
                <w:szCs w:val="24"/>
                <w:highlight w:val="none"/>
              </w:rPr>
              <w:t>具有有效期内的保险证明材料</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保险内容包含游乐设备或体育器材或教学</w:t>
            </w:r>
            <w:r>
              <w:rPr>
                <w:rFonts w:hint="eastAsia" w:ascii="宋体" w:hAnsi="宋体" w:cs="宋体"/>
                <w:color w:val="auto"/>
                <w:sz w:val="24"/>
                <w:szCs w:val="24"/>
                <w:highlight w:val="none"/>
                <w:lang w:val="en-US" w:eastAsia="zh-CN"/>
              </w:rPr>
              <w:t>用具</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w:t>
            </w:r>
            <w:r>
              <w:rPr>
                <w:rFonts w:hint="eastAsia" w:ascii="宋体" w:hAnsi="宋体" w:cs="宋体"/>
                <w:color w:val="auto"/>
                <w:sz w:val="24"/>
                <w:szCs w:val="24"/>
                <w:highlight w:val="none"/>
              </w:rPr>
              <w:t>有一项得1分，最高得3分。</w:t>
            </w:r>
          </w:p>
          <w:p>
            <w:pPr>
              <w:rPr>
                <w:rFonts w:ascii="宋体" w:hAnsi="宋体" w:cs="宋体"/>
                <w:color w:val="auto"/>
                <w:sz w:val="24"/>
                <w:highlight w:val="none"/>
              </w:rPr>
            </w:pPr>
            <w:r>
              <w:rPr>
                <w:rFonts w:hint="eastAsia" w:ascii="宋体" w:hAnsi="宋体" w:cs="宋体"/>
                <w:color w:val="auto"/>
                <w:sz w:val="24"/>
                <w:highlight w:val="none"/>
              </w:rPr>
              <w:t>4.核心产品制造商</w:t>
            </w:r>
            <w:r>
              <w:rPr>
                <w:rFonts w:hint="eastAsia" w:ascii="宋体" w:hAnsi="宋体" w:cs="宋体"/>
                <w:color w:val="auto"/>
                <w:sz w:val="24"/>
                <w:highlight w:val="none"/>
                <w:lang w:val="en-US" w:eastAsia="zh-CN"/>
              </w:rPr>
              <w:t>或生产商</w:t>
            </w:r>
            <w:r>
              <w:rPr>
                <w:rFonts w:hint="eastAsia" w:ascii="宋体" w:hAnsi="宋体" w:cs="宋体"/>
                <w:color w:val="auto"/>
                <w:sz w:val="24"/>
                <w:highlight w:val="none"/>
              </w:rPr>
              <w:t>具有中国国家强制性产品认证证书</w:t>
            </w:r>
            <w:r>
              <w:rPr>
                <w:rFonts w:hint="eastAsia" w:ascii="宋体" w:hAnsi="宋体" w:cs="宋体"/>
                <w:b w:val="0"/>
                <w:bCs w:val="0"/>
                <w:color w:val="auto"/>
                <w:sz w:val="24"/>
                <w:szCs w:val="24"/>
                <w:highlight w:val="none"/>
                <w:lang w:eastAsia="zh-CN"/>
              </w:rPr>
              <w:t>（</w:t>
            </w:r>
            <w:r>
              <w:rPr>
                <w:rFonts w:hint="eastAsia" w:ascii="宋体" w:hAnsi="宋体" w:eastAsia="宋体"/>
                <w:b w:val="0"/>
                <w:bCs/>
                <w:color w:val="auto"/>
                <w:kern w:val="2"/>
                <w:sz w:val="24"/>
                <w:szCs w:val="24"/>
                <w:highlight w:val="none"/>
              </w:rPr>
              <w:t>认证内容包含玩具类</w:t>
            </w:r>
            <w:r>
              <w:rPr>
                <w:rFonts w:hint="eastAsia" w:ascii="宋体" w:hAnsi="宋体" w:cs="宋体"/>
                <w:b w:val="0"/>
                <w:bCs w:val="0"/>
                <w:color w:val="auto"/>
                <w:sz w:val="24"/>
                <w:szCs w:val="24"/>
                <w:highlight w:val="none"/>
                <w:lang w:eastAsia="zh-CN"/>
              </w:rPr>
              <w:t>）</w:t>
            </w:r>
            <w:r>
              <w:rPr>
                <w:rFonts w:hint="eastAsia" w:ascii="宋体" w:hAnsi="宋体" w:cs="宋体"/>
                <w:color w:val="auto"/>
                <w:sz w:val="24"/>
                <w:highlight w:val="none"/>
              </w:rPr>
              <w:t>的得2分。</w:t>
            </w:r>
          </w:p>
          <w:p>
            <w:pPr>
              <w:pStyle w:val="2"/>
              <w:ind w:left="0" w:firstLine="0"/>
              <w:jc w:val="left"/>
              <w:rPr>
                <w:rFonts w:ascii="宋体" w:hAnsi="宋体" w:eastAsia="宋体"/>
                <w:b w:val="0"/>
                <w:bCs/>
                <w:color w:val="auto"/>
                <w:kern w:val="2"/>
                <w:sz w:val="24"/>
                <w:szCs w:val="24"/>
                <w:highlight w:val="none"/>
              </w:rPr>
            </w:pPr>
            <w:r>
              <w:rPr>
                <w:rFonts w:hint="eastAsia" w:ascii="宋体" w:hAnsi="宋体" w:eastAsia="宋体"/>
                <w:b w:val="0"/>
                <w:bCs/>
                <w:color w:val="auto"/>
                <w:kern w:val="2"/>
                <w:sz w:val="24"/>
                <w:szCs w:val="24"/>
                <w:highlight w:val="none"/>
              </w:rPr>
              <w:t>5.核心产品制造商或生产商具有玩具可触及材料洁净等级(CQC)认证证书</w:t>
            </w:r>
            <w:r>
              <w:rPr>
                <w:rFonts w:hint="eastAsia" w:ascii="宋体" w:hAnsi="宋体" w:eastAsia="宋体"/>
                <w:b w:val="0"/>
                <w:bCs/>
                <w:color w:val="auto"/>
                <w:kern w:val="2"/>
                <w:sz w:val="24"/>
                <w:szCs w:val="24"/>
                <w:highlight w:val="none"/>
                <w:lang w:eastAsia="zh-CN"/>
              </w:rPr>
              <w:t>（</w:t>
            </w:r>
            <w:r>
              <w:rPr>
                <w:rFonts w:hint="eastAsia" w:ascii="宋体" w:hAnsi="宋体" w:eastAsia="宋体"/>
                <w:b w:val="0"/>
                <w:bCs/>
                <w:color w:val="auto"/>
                <w:kern w:val="2"/>
                <w:sz w:val="24"/>
                <w:szCs w:val="24"/>
                <w:highlight w:val="none"/>
              </w:rPr>
              <w:t>认证内容包含玩具类</w:t>
            </w:r>
            <w:r>
              <w:rPr>
                <w:rFonts w:hint="eastAsia" w:ascii="宋体" w:hAnsi="宋体" w:eastAsia="宋体"/>
                <w:b w:val="0"/>
                <w:bCs/>
                <w:color w:val="auto"/>
                <w:kern w:val="2"/>
                <w:sz w:val="24"/>
                <w:szCs w:val="24"/>
                <w:highlight w:val="none"/>
                <w:lang w:eastAsia="zh-CN"/>
              </w:rPr>
              <w:t>）</w:t>
            </w:r>
            <w:r>
              <w:rPr>
                <w:rFonts w:hint="eastAsia" w:ascii="宋体" w:hAnsi="宋体" w:eastAsia="宋体"/>
                <w:b w:val="0"/>
                <w:bCs/>
                <w:color w:val="auto"/>
                <w:kern w:val="2"/>
                <w:sz w:val="24"/>
                <w:szCs w:val="24"/>
                <w:highlight w:val="none"/>
              </w:rPr>
              <w:t>的得2分。</w:t>
            </w:r>
          </w:p>
          <w:p>
            <w:pPr>
              <w:pStyle w:val="8"/>
              <w:spacing w:line="240" w:lineRule="auto"/>
              <w:ind w:firstLine="0" w:firstLineChars="0"/>
              <w:rPr>
                <w:rFonts w:ascii="宋体" w:hAnsi="宋体" w:cs="宋体"/>
                <w:color w:val="auto"/>
                <w:sz w:val="24"/>
                <w:szCs w:val="24"/>
                <w:highlight w:val="none"/>
              </w:rPr>
            </w:pPr>
            <w:r>
              <w:rPr>
                <w:rFonts w:hint="eastAsia" w:ascii="宋体" w:hAnsi="宋体" w:cs="宋体"/>
                <w:b/>
                <w:bCs/>
                <w:color w:val="auto"/>
                <w:sz w:val="24"/>
                <w:szCs w:val="24"/>
                <w:highlight w:val="none"/>
              </w:rPr>
              <w:t>备注：响应文件中提供以上盖有制造商</w:t>
            </w:r>
            <w:r>
              <w:rPr>
                <w:rFonts w:hint="eastAsia" w:ascii="宋体" w:hAnsi="宋体" w:cs="宋体"/>
                <w:b/>
                <w:bCs/>
                <w:color w:val="auto"/>
                <w:sz w:val="24"/>
                <w:szCs w:val="24"/>
                <w:highlight w:val="none"/>
                <w:lang w:val="en-US" w:eastAsia="zh-CN"/>
              </w:rPr>
              <w:t>或生产商</w:t>
            </w:r>
            <w:r>
              <w:rPr>
                <w:rFonts w:hint="eastAsia" w:ascii="宋体" w:hAnsi="宋体" w:cs="宋体"/>
                <w:b/>
                <w:bCs/>
                <w:color w:val="auto"/>
                <w:sz w:val="24"/>
                <w:szCs w:val="24"/>
                <w:highlight w:val="none"/>
              </w:rPr>
              <w:t>公章的证明材料复印件。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业绩</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792" w:type="dxa"/>
            <w:shd w:val="clear" w:color="auto" w:fill="auto"/>
            <w:vAlign w:val="center"/>
          </w:tcPr>
          <w:p>
            <w:pPr>
              <w:pStyle w:val="8"/>
              <w:spacing w:line="240" w:lineRule="auto"/>
              <w:ind w:firstLine="0" w:firstLineChars="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供应商自2018年1月以来与学校签订类似采购合同（时间以合同签订时间为准），提供一份合同得3分，最高得6分；</w:t>
            </w:r>
            <w:r>
              <w:rPr>
                <w:rFonts w:hint="eastAsia" w:ascii="宋体" w:hAnsi="宋体" w:cs="宋体"/>
                <w:b/>
                <w:bCs/>
                <w:color w:val="auto"/>
                <w:kern w:val="0"/>
                <w:sz w:val="24"/>
                <w:szCs w:val="24"/>
                <w:highlight w:val="none"/>
                <w:lang w:bidi="ar"/>
              </w:rPr>
              <w:t>（响应文件中提供合同及中标通知书复印件，合同原件核查，无原件不得分。）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实施方案</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24</w:t>
            </w:r>
          </w:p>
        </w:tc>
        <w:tc>
          <w:tcPr>
            <w:tcW w:w="6792" w:type="dxa"/>
            <w:shd w:val="clear" w:color="auto" w:fill="auto"/>
            <w:vAlign w:val="center"/>
          </w:tcPr>
          <w:p>
            <w:pPr>
              <w:pStyle w:val="9"/>
              <w:rPr>
                <w:rFonts w:hAnsi="宋体" w:eastAsia="宋体" w:cs="宋体"/>
                <w:color w:val="auto"/>
                <w:kern w:val="2"/>
                <w:sz w:val="24"/>
                <w:szCs w:val="24"/>
                <w:highlight w:val="none"/>
              </w:rPr>
            </w:pPr>
            <w:r>
              <w:rPr>
                <w:rFonts w:hint="eastAsia" w:hAnsi="宋体" w:eastAsia="宋体" w:cs="宋体"/>
                <w:color w:val="auto"/>
                <w:kern w:val="2"/>
                <w:sz w:val="24"/>
                <w:szCs w:val="24"/>
                <w:highlight w:val="none"/>
              </w:rPr>
              <w:t>1.评委根据供应商提供的项目实施方案及规划安排进行综合评审，计划科学、合理、有针对性，得5-6分；计划较科学、较合理，得3-4分；计划可行性一般的得1-2分；未提供不得分。</w:t>
            </w:r>
          </w:p>
          <w:p>
            <w:pPr>
              <w:pStyle w:val="9"/>
              <w:rPr>
                <w:rFonts w:hAnsi="宋体" w:eastAsia="宋体" w:cs="宋体"/>
                <w:color w:val="auto"/>
                <w:kern w:val="2"/>
                <w:sz w:val="24"/>
                <w:szCs w:val="24"/>
                <w:highlight w:val="none"/>
              </w:rPr>
            </w:pPr>
            <w:r>
              <w:rPr>
                <w:rFonts w:hint="eastAsia" w:hAnsi="宋体" w:eastAsia="宋体" w:cs="宋体"/>
                <w:color w:val="auto"/>
                <w:kern w:val="2"/>
                <w:sz w:val="24"/>
                <w:szCs w:val="24"/>
                <w:highlight w:val="none"/>
              </w:rPr>
              <w:t>2.评委根据供应商提供的供货方案、技术保障方案及人员配备方案进行综合评审，方案科学、合理、有针对性，得5-6分；方案较科学、较合理，得3-4分；方案一般的得1-2分；未提供不得分。</w:t>
            </w:r>
          </w:p>
          <w:p>
            <w:pPr>
              <w:pStyle w:val="9"/>
              <w:rPr>
                <w:rFonts w:hAnsi="宋体" w:eastAsia="宋体" w:cs="宋体"/>
                <w:color w:val="auto"/>
                <w:kern w:val="2"/>
                <w:sz w:val="24"/>
                <w:szCs w:val="24"/>
                <w:highlight w:val="none"/>
              </w:rPr>
            </w:pPr>
            <w:r>
              <w:rPr>
                <w:rFonts w:hint="eastAsia" w:hAnsi="宋体" w:eastAsia="宋体" w:cs="宋体"/>
                <w:color w:val="auto"/>
                <w:kern w:val="2"/>
                <w:sz w:val="24"/>
                <w:szCs w:val="24"/>
                <w:highlight w:val="none"/>
              </w:rPr>
              <w:t>3.评委根据供应商提供的产品质量保证措施进行综合评审，措施科学、全面、合理，得5-6分；措施较科学、较全面、较合理，得3-4分；措施一般的得1-2分；未提供不得分。</w:t>
            </w:r>
          </w:p>
          <w:p>
            <w:pPr>
              <w:pStyle w:val="8"/>
              <w:spacing w:line="240" w:lineRule="auto"/>
              <w:ind w:firstLine="0" w:firstLineChars="0"/>
              <w:rPr>
                <w:rFonts w:ascii="宋体" w:hAnsi="宋体" w:cs="宋体"/>
                <w:color w:val="auto"/>
                <w:kern w:val="0"/>
                <w:sz w:val="24"/>
                <w:szCs w:val="24"/>
                <w:highlight w:val="none"/>
                <w:lang w:bidi="ar"/>
              </w:rPr>
            </w:pPr>
            <w:r>
              <w:rPr>
                <w:rFonts w:hint="eastAsia" w:ascii="宋体" w:hAnsi="宋体" w:cs="宋体"/>
                <w:color w:val="auto"/>
                <w:sz w:val="24"/>
                <w:szCs w:val="24"/>
                <w:highlight w:val="none"/>
              </w:rPr>
              <w:t>4.</w:t>
            </w:r>
            <w:r>
              <w:rPr>
                <w:rFonts w:hint="eastAsia" w:hAnsi="宋体" w:cs="宋体"/>
                <w:color w:val="auto"/>
                <w:sz w:val="24"/>
                <w:szCs w:val="24"/>
                <w:highlight w:val="none"/>
              </w:rPr>
              <w:t>评委</w:t>
            </w:r>
            <w:r>
              <w:rPr>
                <w:rFonts w:hint="eastAsia" w:ascii="宋体" w:hAnsi="宋体" w:cs="宋体"/>
                <w:color w:val="auto"/>
                <w:sz w:val="24"/>
                <w:szCs w:val="24"/>
                <w:highlight w:val="none"/>
              </w:rPr>
              <w:t>根据供应商提供的产品安装验收方案、合理化建议等进行综合评审，方案科学、合理、有针对性，得5-6分；方案较科学、较合理的得3-4分；方案一般的得1-2分；未提供不得分。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核心产品深化设计方案及演示</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6792" w:type="dxa"/>
            <w:shd w:val="clear" w:color="auto" w:fill="auto"/>
            <w:vAlign w:val="center"/>
          </w:tcPr>
          <w:p>
            <w:pPr>
              <w:pStyle w:val="9"/>
              <w:rPr>
                <w:rFonts w:hAnsi="宋体" w:eastAsia="宋体" w:cs="宋体"/>
                <w:color w:val="auto"/>
                <w:kern w:val="2"/>
                <w:sz w:val="24"/>
                <w:szCs w:val="24"/>
                <w:highlight w:val="none"/>
              </w:rPr>
            </w:pPr>
            <w:r>
              <w:rPr>
                <w:rFonts w:hint="eastAsia" w:hAnsi="宋体" w:eastAsia="宋体" w:cs="宋体"/>
                <w:color w:val="auto"/>
                <w:kern w:val="2"/>
                <w:sz w:val="24"/>
                <w:szCs w:val="24"/>
                <w:highlight w:val="none"/>
              </w:rPr>
              <w:t>供应商根据采购文件要求进行深化设计并对核心产品的设计方案、产品构成及功能进行演示说明，评委根据方案及演示的合理性、安全性、符合性等方面酌情打分，最高10分。</w:t>
            </w:r>
          </w:p>
          <w:p>
            <w:pPr>
              <w:pStyle w:val="8"/>
              <w:spacing w:line="240" w:lineRule="auto"/>
              <w:ind w:firstLine="0" w:firstLineChars="0"/>
              <w:rPr>
                <w:rFonts w:ascii="宋体" w:hAnsi="宋体" w:cs="宋体"/>
                <w:color w:val="auto"/>
                <w:kern w:val="0"/>
                <w:sz w:val="24"/>
                <w:szCs w:val="24"/>
                <w:highlight w:val="none"/>
                <w:lang w:bidi="ar"/>
              </w:rPr>
            </w:pPr>
            <w:r>
              <w:rPr>
                <w:rFonts w:hint="eastAsia" w:hAnsi="宋体" w:cs="宋体"/>
                <w:b/>
                <w:bCs/>
                <w:color w:val="auto"/>
                <w:sz w:val="24"/>
                <w:szCs w:val="24"/>
                <w:highlight w:val="none"/>
              </w:rPr>
              <w:t>演示采用图片或视频形式，不提供深化设计方案及演示本项不得分。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产品检测</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792" w:type="dxa"/>
            <w:shd w:val="clear" w:color="auto" w:fill="auto"/>
            <w:vAlign w:val="center"/>
          </w:tcPr>
          <w:p>
            <w:pPr>
              <w:snapToGrid w:val="0"/>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1.核心产品部件检测报告：</w:t>
            </w:r>
          </w:p>
          <w:p>
            <w:pPr>
              <w:snapToGrid w:val="0"/>
              <w:rPr>
                <w:rFonts w:ascii="宋体" w:hAnsi="宋体" w:cs="宋体"/>
                <w:bCs/>
                <w:color w:val="auto"/>
                <w:kern w:val="0"/>
                <w:sz w:val="24"/>
                <w:szCs w:val="21"/>
                <w:highlight w:val="none"/>
              </w:rPr>
            </w:pPr>
            <w:r>
              <w:rPr>
                <w:rFonts w:hint="eastAsia" w:ascii="宋体" w:hAnsi="宋体" w:cs="宋体"/>
                <w:bCs/>
                <w:color w:val="auto"/>
                <w:kern w:val="0"/>
                <w:sz w:val="24"/>
                <w:szCs w:val="21"/>
                <w:highlight w:val="none"/>
              </w:rPr>
              <w:t>（1）提供国家权威检测机构出具的符合《GB_T 27689-2011无动力类游乐设施 儿童滑梯》标准检测报告：</w:t>
            </w:r>
          </w:p>
          <w:p>
            <w:pPr>
              <w:snapToGrid w:val="0"/>
              <w:rPr>
                <w:rFonts w:ascii="宋体" w:hAnsi="宋体" w:cs="宋体"/>
                <w:bCs/>
                <w:color w:val="auto"/>
                <w:kern w:val="0"/>
                <w:sz w:val="24"/>
                <w:szCs w:val="21"/>
                <w:highlight w:val="none"/>
              </w:rPr>
            </w:pPr>
            <w:r>
              <w:rPr>
                <w:rFonts w:hint="eastAsia" w:ascii="宋体" w:hAnsi="宋体" w:cs="宋体"/>
                <w:bCs/>
                <w:color w:val="auto"/>
                <w:kern w:val="0"/>
                <w:sz w:val="24"/>
                <w:szCs w:val="21"/>
                <w:highlight w:val="none"/>
              </w:rPr>
              <w:t>a</w:t>
            </w:r>
            <w:r>
              <w:rPr>
                <w:rFonts w:ascii="宋体" w:hAnsi="宋体" w:cs="宋体"/>
                <w:bCs/>
                <w:color w:val="auto"/>
                <w:kern w:val="0"/>
                <w:sz w:val="24"/>
                <w:szCs w:val="21"/>
                <w:highlight w:val="none"/>
              </w:rPr>
              <w:t>.</w:t>
            </w:r>
            <w:r>
              <w:rPr>
                <w:rFonts w:hint="eastAsia" w:ascii="宋体" w:hAnsi="宋体" w:cs="宋体"/>
                <w:bCs/>
                <w:color w:val="auto"/>
                <w:kern w:val="0"/>
                <w:sz w:val="24"/>
                <w:szCs w:val="21"/>
                <w:highlight w:val="none"/>
              </w:rPr>
              <w:t>滑梯、门牌、围栏护栏等检测报告（检测内容</w:t>
            </w:r>
            <w:r>
              <w:rPr>
                <w:rFonts w:hint="eastAsia" w:ascii="宋体" w:hAnsi="宋体" w:eastAsia="宋体"/>
                <w:b w:val="0"/>
                <w:bCs/>
                <w:color w:val="auto"/>
                <w:sz w:val="24"/>
                <w:szCs w:val="21"/>
                <w:highlight w:val="none"/>
                <w:lang w:val="en-US" w:eastAsia="zh-CN"/>
              </w:rPr>
              <w:t>应</w:t>
            </w:r>
            <w:r>
              <w:rPr>
                <w:rFonts w:hint="eastAsia" w:ascii="宋体" w:hAnsi="宋体" w:cs="宋体"/>
                <w:bCs/>
                <w:color w:val="auto"/>
                <w:kern w:val="0"/>
                <w:sz w:val="24"/>
                <w:szCs w:val="21"/>
                <w:highlight w:val="none"/>
              </w:rPr>
              <w:t>包含：儿童滑梯突出物无安全隐患、挤压保护和耐拉力性能等），以上报告齐全得3分，缺一项扣1分，扣完为止。</w:t>
            </w:r>
          </w:p>
          <w:p>
            <w:pPr>
              <w:pStyle w:val="2"/>
              <w:ind w:left="0" w:firstLine="0"/>
              <w:jc w:val="both"/>
              <w:rPr>
                <w:rFonts w:ascii="宋体" w:hAnsi="宋体" w:eastAsia="宋体"/>
                <w:b w:val="0"/>
                <w:bCs/>
                <w:color w:val="auto"/>
                <w:sz w:val="24"/>
                <w:szCs w:val="21"/>
                <w:highlight w:val="none"/>
              </w:rPr>
            </w:pPr>
            <w:r>
              <w:rPr>
                <w:rFonts w:ascii="宋体" w:hAnsi="宋体" w:eastAsia="宋体"/>
                <w:b w:val="0"/>
                <w:bCs/>
                <w:color w:val="auto"/>
                <w:sz w:val="24"/>
                <w:szCs w:val="21"/>
                <w:highlight w:val="none"/>
              </w:rPr>
              <w:t>b.</w:t>
            </w:r>
            <w:r>
              <w:rPr>
                <w:rFonts w:hint="eastAsia" w:ascii="宋体" w:hAnsi="宋体" w:eastAsia="宋体"/>
                <w:b w:val="0"/>
                <w:bCs/>
                <w:color w:val="auto"/>
                <w:sz w:val="24"/>
                <w:szCs w:val="21"/>
                <w:highlight w:val="none"/>
              </w:rPr>
              <w:t>线性低密度聚乙烯检测报告（检测内容</w:t>
            </w:r>
            <w:r>
              <w:rPr>
                <w:rFonts w:hint="eastAsia" w:ascii="宋体" w:hAnsi="宋体" w:eastAsia="宋体"/>
                <w:b w:val="0"/>
                <w:bCs/>
                <w:color w:val="auto"/>
                <w:sz w:val="24"/>
                <w:szCs w:val="21"/>
                <w:highlight w:val="none"/>
                <w:lang w:val="en-US" w:eastAsia="zh-CN"/>
              </w:rPr>
              <w:t>应</w:t>
            </w:r>
            <w:r>
              <w:rPr>
                <w:rFonts w:hint="eastAsia" w:ascii="宋体" w:hAnsi="宋体" w:eastAsia="宋体"/>
                <w:b w:val="0"/>
                <w:bCs/>
                <w:color w:val="auto"/>
                <w:sz w:val="24"/>
                <w:szCs w:val="21"/>
                <w:highlight w:val="none"/>
              </w:rPr>
              <w:t>包含：理化性能、拉伸强度、断裂伸长率、弯曲强度、悬臂梁缺口冲击强度、邵氏硬度、燃烧性等），有则得1分，没有不得分。</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hint="eastAsia" w:ascii="宋体" w:hAnsi="宋体" w:cs="宋体"/>
                <w:bCs/>
                <w:color w:val="auto"/>
                <w:kern w:val="0"/>
                <w:sz w:val="24"/>
                <w:szCs w:val="21"/>
                <w:highlight w:val="none"/>
              </w:rPr>
              <w:t>提供国家权威机构出具的符合《</w:t>
            </w:r>
            <w:r>
              <w:rPr>
                <w:rFonts w:hint="eastAsia" w:ascii="宋体" w:hAnsi="宋体" w:cs="宋体"/>
                <w:bCs/>
                <w:color w:val="auto"/>
                <w:kern w:val="0"/>
                <w:sz w:val="24"/>
                <w:highlight w:val="none"/>
              </w:rPr>
              <w:t>GB6675.4-2014玩具安全</w:t>
            </w:r>
            <w:r>
              <w:rPr>
                <w:rFonts w:hint="eastAsia" w:ascii="宋体" w:hAnsi="宋体" w:cs="宋体"/>
                <w:bCs/>
                <w:color w:val="auto"/>
                <w:kern w:val="0"/>
                <w:sz w:val="24"/>
                <w:szCs w:val="21"/>
                <w:highlight w:val="none"/>
              </w:rPr>
              <w:t>》标准的</w:t>
            </w:r>
            <w:r>
              <w:rPr>
                <w:rFonts w:hint="eastAsia" w:ascii="宋体" w:hAnsi="宋体" w:cs="宋体"/>
                <w:bCs/>
                <w:color w:val="auto"/>
                <w:kern w:val="0"/>
                <w:sz w:val="24"/>
                <w:highlight w:val="none"/>
              </w:rPr>
              <w:t>色粉、塑粉检测报告（检测内容</w:t>
            </w:r>
            <w:r>
              <w:rPr>
                <w:rFonts w:hint="eastAsia" w:ascii="宋体" w:hAnsi="宋体" w:eastAsia="宋体"/>
                <w:b w:val="0"/>
                <w:bCs/>
                <w:color w:val="auto"/>
                <w:sz w:val="24"/>
                <w:szCs w:val="21"/>
                <w:highlight w:val="none"/>
                <w:lang w:val="en-US" w:eastAsia="zh-CN"/>
              </w:rPr>
              <w:t>应</w:t>
            </w:r>
            <w:r>
              <w:rPr>
                <w:rFonts w:hint="eastAsia" w:ascii="宋体" w:hAnsi="宋体" w:cs="宋体"/>
                <w:bCs/>
                <w:color w:val="auto"/>
                <w:kern w:val="0"/>
                <w:sz w:val="24"/>
                <w:highlight w:val="none"/>
              </w:rPr>
              <w:t>包含：特定元素的迁移重金属钡、铅、镉、锑、硒、铬、汞、砷等），以上报告齐全得2分，缺一项扣1分，扣完为止。</w:t>
            </w:r>
          </w:p>
          <w:p>
            <w:pPr>
              <w:snapToGrid w:val="0"/>
              <w:rPr>
                <w:rFonts w:ascii="宋体" w:hAnsi="宋体" w:cs="宋体"/>
                <w:bCs/>
                <w:color w:val="auto"/>
                <w:kern w:val="0"/>
                <w:sz w:val="24"/>
                <w:highlight w:val="none"/>
              </w:rPr>
            </w:pPr>
            <w:r>
              <w:rPr>
                <w:rFonts w:hint="eastAsia" w:ascii="宋体" w:hAnsi="宋体" w:cs="宋体"/>
                <w:color w:val="auto"/>
                <w:kern w:val="0"/>
                <w:sz w:val="24"/>
                <w:szCs w:val="21"/>
                <w:highlight w:val="none"/>
              </w:rPr>
              <w:t>（3）</w:t>
            </w:r>
            <w:r>
              <w:rPr>
                <w:rFonts w:hint="eastAsia" w:ascii="宋体" w:hAnsi="宋体" w:cs="宋体"/>
                <w:bCs/>
                <w:color w:val="auto"/>
                <w:kern w:val="0"/>
                <w:sz w:val="24"/>
                <w:szCs w:val="21"/>
                <w:highlight w:val="none"/>
              </w:rPr>
              <w:t>提供国家权威机构出具的符合《</w:t>
            </w:r>
            <w:r>
              <w:rPr>
                <w:rFonts w:hint="eastAsia" w:ascii="宋体" w:hAnsi="宋体" w:cs="宋体"/>
                <w:bCs/>
                <w:color w:val="auto"/>
                <w:kern w:val="0"/>
                <w:sz w:val="24"/>
                <w:highlight w:val="none"/>
              </w:rPr>
              <w:t>GB/T 34272-2017小型游乐设施</w:t>
            </w:r>
            <w:r>
              <w:rPr>
                <w:rFonts w:hint="eastAsia" w:ascii="宋体" w:hAnsi="宋体" w:cs="宋体"/>
                <w:bCs/>
                <w:color w:val="auto"/>
                <w:kern w:val="0"/>
                <w:sz w:val="24"/>
                <w:szCs w:val="21"/>
                <w:highlight w:val="none"/>
              </w:rPr>
              <w:t>》标准的</w:t>
            </w:r>
            <w:r>
              <w:rPr>
                <w:rFonts w:hint="eastAsia" w:ascii="宋体" w:hAnsi="宋体" w:cs="宋体"/>
                <w:color w:val="auto"/>
                <w:kern w:val="0"/>
                <w:sz w:val="24"/>
                <w:szCs w:val="21"/>
                <w:highlight w:val="none"/>
              </w:rPr>
              <w:t>攀爬网检测报告（检测内容</w:t>
            </w:r>
            <w:r>
              <w:rPr>
                <w:rFonts w:hint="eastAsia" w:ascii="宋体" w:hAnsi="宋体" w:eastAsia="宋体"/>
                <w:b w:val="0"/>
                <w:bCs/>
                <w:color w:val="auto"/>
                <w:sz w:val="24"/>
                <w:szCs w:val="21"/>
                <w:highlight w:val="none"/>
                <w:lang w:val="en-US" w:eastAsia="zh-CN"/>
              </w:rPr>
              <w:t>应</w:t>
            </w:r>
            <w:r>
              <w:rPr>
                <w:rFonts w:hint="eastAsia" w:ascii="宋体" w:hAnsi="宋体" w:cs="宋体"/>
                <w:color w:val="auto"/>
                <w:kern w:val="0"/>
                <w:sz w:val="24"/>
                <w:szCs w:val="21"/>
                <w:highlight w:val="none"/>
              </w:rPr>
              <w:t>包含</w:t>
            </w:r>
            <w:r>
              <w:rPr>
                <w:rFonts w:hint="eastAsia" w:ascii="宋体" w:hAnsi="宋体" w:cs="宋体"/>
                <w:bCs/>
                <w:color w:val="auto"/>
                <w:kern w:val="0"/>
                <w:sz w:val="24"/>
                <w:highlight w:val="none"/>
              </w:rPr>
              <w:t>重金属钡、铅、镉、锑、硒、铬、汞、砷、领苯二甲酸类等</w:t>
            </w:r>
            <w:r>
              <w:rPr>
                <w:rFonts w:hint="eastAsia" w:ascii="宋体" w:hAnsi="宋体" w:cs="宋体"/>
                <w:color w:val="auto"/>
                <w:kern w:val="0"/>
                <w:sz w:val="24"/>
                <w:szCs w:val="21"/>
                <w:highlight w:val="none"/>
              </w:rPr>
              <w:t>）</w:t>
            </w:r>
            <w:r>
              <w:rPr>
                <w:rFonts w:hint="eastAsia" w:ascii="宋体" w:hAnsi="宋体" w:cs="宋体"/>
                <w:bCs/>
                <w:color w:val="auto"/>
                <w:kern w:val="0"/>
                <w:sz w:val="24"/>
                <w:highlight w:val="none"/>
              </w:rPr>
              <w:t>，有则得1分，没有不得分。</w:t>
            </w:r>
            <w:r>
              <w:rPr>
                <w:rFonts w:ascii="宋体" w:hAnsi="宋体" w:cs="宋体"/>
                <w:bCs/>
                <w:color w:val="auto"/>
                <w:kern w:val="0"/>
                <w:sz w:val="24"/>
                <w:highlight w:val="none"/>
              </w:rPr>
              <w:t xml:space="preserve"> </w:t>
            </w:r>
          </w:p>
          <w:p>
            <w:pPr>
              <w:pStyle w:val="10"/>
              <w:rPr>
                <w:rFonts w:hAnsi="宋体"/>
                <w:b/>
                <w:bCs/>
                <w:color w:val="auto"/>
                <w:szCs w:val="21"/>
                <w:highlight w:val="none"/>
              </w:rPr>
            </w:pPr>
            <w:r>
              <w:rPr>
                <w:rFonts w:hint="eastAsia"/>
                <w:b/>
                <w:bCs/>
                <w:color w:val="auto"/>
                <w:highlight w:val="none"/>
              </w:rPr>
              <w:t>2.</w:t>
            </w:r>
            <w:r>
              <w:rPr>
                <w:rFonts w:hint="eastAsia" w:hAnsi="宋体"/>
                <w:b/>
                <w:bCs/>
                <w:color w:val="auto"/>
                <w:szCs w:val="21"/>
                <w:highlight w:val="none"/>
              </w:rPr>
              <w:t>摇马检测报告：</w:t>
            </w:r>
          </w:p>
          <w:p>
            <w:pPr>
              <w:pStyle w:val="10"/>
              <w:rPr>
                <w:color w:val="auto"/>
                <w:highlight w:val="none"/>
              </w:rPr>
            </w:pPr>
            <w:r>
              <w:rPr>
                <w:rFonts w:hint="eastAsia" w:hAnsi="宋体"/>
                <w:color w:val="auto"/>
                <w:szCs w:val="21"/>
                <w:highlight w:val="none"/>
              </w:rPr>
              <w:t>提供国家权威检测机构出具符合《GB/T 34021-2017》标准的检测报告（检测内容</w:t>
            </w:r>
            <w:r>
              <w:rPr>
                <w:rFonts w:hint="eastAsia" w:ascii="宋体" w:hAnsi="宋体" w:eastAsia="宋体"/>
                <w:b w:val="0"/>
                <w:bCs/>
                <w:color w:val="auto"/>
                <w:sz w:val="24"/>
                <w:szCs w:val="21"/>
                <w:highlight w:val="none"/>
                <w:lang w:val="en-US" w:eastAsia="zh-CN"/>
              </w:rPr>
              <w:t>应</w:t>
            </w:r>
            <w:r>
              <w:rPr>
                <w:rFonts w:hint="eastAsia" w:hAnsi="宋体"/>
                <w:color w:val="auto"/>
                <w:szCs w:val="21"/>
                <w:highlight w:val="none"/>
              </w:rPr>
              <w:t>包含摇马的承载性能等各项安全性能等）</w:t>
            </w:r>
            <w:r>
              <w:rPr>
                <w:rFonts w:hint="eastAsia"/>
                <w:color w:val="auto"/>
                <w:highlight w:val="none"/>
              </w:rPr>
              <w:t>，有则得1分，</w:t>
            </w:r>
            <w:r>
              <w:rPr>
                <w:rFonts w:hint="eastAsia" w:hAnsi="宋体"/>
                <w:bCs/>
                <w:color w:val="auto"/>
                <w:highlight w:val="none"/>
              </w:rPr>
              <w:t>没有不得分</w:t>
            </w:r>
            <w:r>
              <w:rPr>
                <w:rFonts w:hint="eastAsia"/>
                <w:color w:val="auto"/>
                <w:highlight w:val="none"/>
              </w:rPr>
              <w:t>；</w:t>
            </w:r>
          </w:p>
          <w:p>
            <w:pPr>
              <w:pStyle w:val="10"/>
              <w:rPr>
                <w:color w:val="auto"/>
                <w:highlight w:val="none"/>
              </w:rPr>
            </w:pPr>
            <w:r>
              <w:rPr>
                <w:rFonts w:hint="eastAsia"/>
                <w:b/>
                <w:bCs/>
                <w:color w:val="auto"/>
                <w:highlight w:val="none"/>
              </w:rPr>
              <w:t>以上检测内容如能在同一报告中体现则无需重复提供。检测报告中送检单位必须为产品制造商</w:t>
            </w:r>
            <w:r>
              <w:rPr>
                <w:rFonts w:hint="eastAsia"/>
                <w:b/>
                <w:bCs/>
                <w:color w:val="auto"/>
                <w:highlight w:val="none"/>
                <w:lang w:val="en-US" w:eastAsia="zh-CN"/>
              </w:rPr>
              <w:t>或生产商</w:t>
            </w:r>
            <w:r>
              <w:rPr>
                <w:rFonts w:hint="eastAsia"/>
                <w:b/>
                <w:bCs/>
                <w:color w:val="auto"/>
                <w:highlight w:val="none"/>
              </w:rPr>
              <w:t>，响应文件中提供盖有制造商</w:t>
            </w:r>
            <w:r>
              <w:rPr>
                <w:rFonts w:hint="eastAsia"/>
                <w:b/>
                <w:bCs/>
                <w:color w:val="auto"/>
                <w:highlight w:val="none"/>
                <w:lang w:val="en-US" w:eastAsia="zh-CN"/>
              </w:rPr>
              <w:t>或生产商</w:t>
            </w:r>
            <w:r>
              <w:rPr>
                <w:rFonts w:hint="eastAsia"/>
                <w:b/>
                <w:bCs/>
                <w:color w:val="auto"/>
                <w:highlight w:val="none"/>
              </w:rPr>
              <w:t>公章的证明材料复印件。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样品</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792" w:type="dxa"/>
            <w:shd w:val="clear" w:color="auto" w:fill="auto"/>
            <w:vAlign w:val="center"/>
          </w:tcPr>
          <w:p>
            <w:pPr>
              <w:pStyle w:val="10"/>
              <w:rPr>
                <w:b/>
                <w:bCs/>
                <w:color w:val="auto"/>
                <w:highlight w:val="none"/>
              </w:rPr>
            </w:pPr>
            <w:r>
              <w:rPr>
                <w:rFonts w:hint="eastAsia" w:hAnsi="宋体"/>
                <w:color w:val="auto"/>
                <w:szCs w:val="21"/>
                <w:highlight w:val="none"/>
              </w:rPr>
              <w:t>由评委根据供应商提供的</w:t>
            </w:r>
            <w:r>
              <w:rPr>
                <w:rFonts w:hint="eastAsia" w:hAnsi="宋体"/>
                <w:bCs/>
                <w:color w:val="auto"/>
                <w:szCs w:val="21"/>
                <w:highlight w:val="none"/>
              </w:rPr>
              <w:t>样品</w:t>
            </w:r>
            <w:r>
              <w:rPr>
                <w:rFonts w:hint="eastAsia" w:hAnsi="宋体"/>
                <w:color w:val="auto"/>
                <w:szCs w:val="21"/>
                <w:highlight w:val="none"/>
              </w:rPr>
              <w:t>进行评分。</w:t>
            </w:r>
            <w:r>
              <w:rPr>
                <w:rFonts w:hint="eastAsia" w:hAnsi="宋体"/>
                <w:bCs/>
                <w:color w:val="auto"/>
                <w:szCs w:val="21"/>
                <w:highlight w:val="none"/>
              </w:rPr>
              <w:t>样品的</w:t>
            </w:r>
            <w:r>
              <w:rPr>
                <w:rFonts w:hint="eastAsia" w:hAnsi="宋体"/>
                <w:color w:val="auto"/>
                <w:szCs w:val="21"/>
                <w:highlight w:val="none"/>
              </w:rPr>
              <w:t>材质、制作工艺、外观、处理工艺、对儿童的安全程度、整体精细程度是否符合采购要求进行综合评价，</w:t>
            </w:r>
            <w:r>
              <w:rPr>
                <w:rFonts w:hint="eastAsia" w:hAnsi="宋体"/>
                <w:bCs/>
                <w:color w:val="auto"/>
                <w:highlight w:val="none"/>
              </w:rPr>
              <w:t>优5-6分；良3-4分，一般1-2分。</w:t>
            </w:r>
            <w:r>
              <w:rPr>
                <w:rFonts w:hint="eastAsia" w:hAnsi="宋体"/>
                <w:b/>
                <w:color w:val="auto"/>
                <w:highlight w:val="none"/>
              </w:rPr>
              <w:t>不提供样品</w:t>
            </w:r>
            <w:r>
              <w:rPr>
                <w:rFonts w:hint="eastAsia" w:hAnsi="宋体"/>
                <w:b/>
                <w:color w:val="auto"/>
                <w:highlight w:val="none"/>
                <w:lang w:val="en-US" w:eastAsia="zh-CN"/>
              </w:rPr>
              <w:t>/样品不全</w:t>
            </w:r>
            <w:r>
              <w:rPr>
                <w:rFonts w:hint="eastAsia" w:hAnsi="宋体"/>
                <w:b/>
                <w:color w:val="auto"/>
                <w:highlight w:val="none"/>
              </w:rPr>
              <w:t>或不符合采购文件要求不得分。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426"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售后服务</w:t>
            </w:r>
          </w:p>
        </w:tc>
        <w:tc>
          <w:tcPr>
            <w:tcW w:w="809" w:type="dxa"/>
            <w:shd w:val="clear" w:color="auto" w:fill="auto"/>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792" w:type="dxa"/>
            <w:shd w:val="clear" w:color="auto" w:fill="auto"/>
            <w:vAlign w:val="center"/>
          </w:tcPr>
          <w:p>
            <w:pPr>
              <w:pStyle w:val="9"/>
              <w:rPr>
                <w:rFonts w:hAnsi="宋体" w:eastAsia="宋体" w:cs="宋体"/>
                <w:color w:val="auto"/>
                <w:kern w:val="2"/>
                <w:sz w:val="24"/>
                <w:szCs w:val="24"/>
                <w:highlight w:val="none"/>
              </w:rPr>
            </w:pPr>
            <w:r>
              <w:rPr>
                <w:rFonts w:hint="eastAsia" w:hAnsi="宋体" w:eastAsia="宋体" w:cs="宋体"/>
                <w:color w:val="auto"/>
                <w:kern w:val="2"/>
                <w:sz w:val="24"/>
                <w:szCs w:val="24"/>
                <w:highlight w:val="none"/>
              </w:rPr>
              <w:t>1.项目整体免费质保期：在满足采购文件质保要求的基础上，每增加一年加0.5分，最高1分。</w:t>
            </w:r>
          </w:p>
          <w:p>
            <w:pPr>
              <w:pStyle w:val="9"/>
              <w:rPr>
                <w:rFonts w:hAnsi="宋体" w:eastAsia="宋体" w:cs="宋体"/>
                <w:color w:val="auto"/>
                <w:kern w:val="2"/>
                <w:sz w:val="24"/>
                <w:szCs w:val="24"/>
                <w:highlight w:val="none"/>
              </w:rPr>
            </w:pPr>
            <w:r>
              <w:rPr>
                <w:rFonts w:hint="eastAsia" w:hAnsi="宋体" w:eastAsia="宋体" w:cs="宋体"/>
                <w:color w:val="auto"/>
                <w:kern w:val="2"/>
                <w:sz w:val="24"/>
                <w:szCs w:val="24"/>
                <w:highlight w:val="none"/>
              </w:rPr>
              <w:t>2.评委根据供应商提供的售后服务保障体系、售后服务人员技术水平、现场服务措施、故障解决能力、应急服务响应时间等进行综合评审，酌情打分，最高</w:t>
            </w:r>
            <w:r>
              <w:rPr>
                <w:rFonts w:hint="eastAsia" w:hAnsi="宋体" w:eastAsia="宋体" w:cs="宋体"/>
                <w:color w:val="auto"/>
                <w:kern w:val="2"/>
                <w:sz w:val="24"/>
                <w:szCs w:val="24"/>
                <w:highlight w:val="none"/>
                <w:lang w:val="en-US" w:eastAsia="zh-CN"/>
              </w:rPr>
              <w:t>3</w:t>
            </w:r>
            <w:r>
              <w:rPr>
                <w:rFonts w:hint="eastAsia" w:hAnsi="宋体" w:eastAsia="宋体" w:cs="宋体"/>
                <w:color w:val="auto"/>
                <w:kern w:val="2"/>
                <w:sz w:val="24"/>
                <w:szCs w:val="24"/>
                <w:highlight w:val="none"/>
              </w:rPr>
              <w:t>分。</w:t>
            </w:r>
          </w:p>
        </w:tc>
      </w:tr>
    </w:tbl>
    <w:p>
      <w:pPr>
        <w:snapToGrid w:val="0"/>
        <w:spacing w:line="380" w:lineRule="exact"/>
        <w:rPr>
          <w:rFonts w:ascii="宋体" w:hAnsi="宋体" w:cs="宋体"/>
          <w:bCs/>
          <w:sz w:val="24"/>
        </w:rPr>
      </w:pPr>
      <w:r>
        <w:rPr>
          <w:rFonts w:hint="eastAsia" w:ascii="宋体" w:hAnsi="宋体" w:cs="宋体"/>
          <w:bCs/>
          <w:sz w:val="24"/>
        </w:rPr>
        <w:t>注：</w:t>
      </w:r>
    </w:p>
    <w:p>
      <w:pPr>
        <w:snapToGrid w:val="0"/>
        <w:spacing w:line="380" w:lineRule="exact"/>
        <w:ind w:firstLine="480" w:firstLineChars="200"/>
        <w:rPr>
          <w:rFonts w:ascii="宋体" w:hAnsi="宋体" w:cs="宋体"/>
          <w:bCs/>
          <w:sz w:val="24"/>
        </w:rPr>
      </w:pPr>
      <w:r>
        <w:rPr>
          <w:rFonts w:hint="eastAsia" w:ascii="宋体" w:hAnsi="宋体" w:cs="宋体"/>
          <w:bCs/>
          <w:sz w:val="24"/>
        </w:rPr>
        <w:t>1.评分细则中要求提供的证明文件及资料等在响应文件中提供复印件，要求“原件核查”的须在投标截止前将相关原件或公证件随同响应文件一并提交以供磋商小组核查，过时不予接收。</w:t>
      </w:r>
      <w:r>
        <w:rPr>
          <w:rFonts w:hint="eastAsia" w:ascii="宋体" w:hAnsi="宋体" w:cs="宋体"/>
          <w:b/>
          <w:bCs/>
          <w:sz w:val="24"/>
        </w:rPr>
        <w:t>若相关证件可在官方网站上查询到证件有效性等信息则无须提供原件。</w:t>
      </w:r>
    </w:p>
    <w:p>
      <w:pPr>
        <w:snapToGrid w:val="0"/>
        <w:spacing w:line="380" w:lineRule="exact"/>
        <w:ind w:firstLine="480" w:firstLineChars="200"/>
        <w:rPr>
          <w:rFonts w:ascii="宋体" w:hAnsi="宋体" w:cs="宋体"/>
          <w:bCs/>
          <w:sz w:val="24"/>
        </w:rPr>
      </w:pPr>
      <w:r>
        <w:rPr>
          <w:rFonts w:hint="eastAsia" w:ascii="宋体" w:hAnsi="宋体" w:cs="宋体"/>
          <w:bCs/>
          <w:sz w:val="24"/>
        </w:rPr>
        <w:t>2.技术部分相关技术指标、产品性能以投标时提供的盖有投标产品制造商公章的证明材料为准。如出现造假等不符实际的情况，将作为无效投标处理，并追究投标人相关法律责任。</w:t>
      </w:r>
    </w:p>
    <w:p>
      <w:pPr>
        <w:snapToGrid w:val="0"/>
        <w:spacing w:line="380" w:lineRule="exact"/>
        <w:ind w:firstLine="480" w:firstLineChars="200"/>
        <w:rPr>
          <w:rFonts w:ascii="宋体" w:hAnsi="宋体" w:cs="宋体"/>
          <w:bCs/>
          <w:szCs w:val="21"/>
        </w:rPr>
      </w:pPr>
      <w:r>
        <w:rPr>
          <w:rFonts w:hint="eastAsia" w:ascii="宋体" w:hAnsi="宋体" w:cs="宋体"/>
          <w:bCs/>
          <w:sz w:val="24"/>
        </w:rPr>
        <w:t>3.为便于评分，请投标人按评分表样式，逐条列出证明材料所在页码，格式自定。</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54CCB"/>
    <w:multiLevelType w:val="multilevel"/>
    <w:tmpl w:val="66D54CCB"/>
    <w:lvl w:ilvl="0" w:tentative="0">
      <w:start w:val="1"/>
      <w:numFmt w:val="decimal"/>
      <w:pStyle w:val="3"/>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54"/>
    <w:rsid w:val="002D44A2"/>
    <w:rsid w:val="003831E8"/>
    <w:rsid w:val="003F5BF8"/>
    <w:rsid w:val="00480F0E"/>
    <w:rsid w:val="0058420A"/>
    <w:rsid w:val="00822610"/>
    <w:rsid w:val="00840F7D"/>
    <w:rsid w:val="00861058"/>
    <w:rsid w:val="00880F2D"/>
    <w:rsid w:val="009A2154"/>
    <w:rsid w:val="00B00BFF"/>
    <w:rsid w:val="00B133AD"/>
    <w:rsid w:val="00B62180"/>
    <w:rsid w:val="00EA2B9C"/>
    <w:rsid w:val="00FF0901"/>
    <w:rsid w:val="11240D7B"/>
    <w:rsid w:val="1F2F6F41"/>
    <w:rsid w:val="31A6748E"/>
    <w:rsid w:val="46644569"/>
    <w:rsid w:val="4AEB400D"/>
    <w:rsid w:val="544D7679"/>
    <w:rsid w:val="5AE679CD"/>
    <w:rsid w:val="5F9E41CC"/>
    <w:rsid w:val="741C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val="0"/>
      <w:spacing w:before="50"/>
      <w:jc w:val="center"/>
      <w:outlineLvl w:val="0"/>
    </w:pPr>
    <w:rPr>
      <w:rFonts w:eastAsia="黑体"/>
      <w:b/>
      <w:kern w:val="0"/>
      <w:sz w:val="44"/>
      <w:szCs w:val="20"/>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宋体 居中 段前: 17 磅 段后: 16.5 磅"/>
    <w:basedOn w:val="3"/>
    <w:qFormat/>
    <w:uiPriority w:val="0"/>
    <w:pPr>
      <w:widowControl/>
      <w:numPr>
        <w:numId w:val="0"/>
      </w:numPr>
      <w:tabs>
        <w:tab w:val="left" w:pos="840"/>
      </w:tabs>
      <w:snapToGrid w:val="0"/>
      <w:ind w:left="840" w:hanging="420"/>
    </w:pPr>
    <w:rPr>
      <w:rFonts w:ascii="华文中宋" w:hAnsi="华文中宋" w:eastAsia="华文中宋" w:cs="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0"/>
    <w:pPr>
      <w:spacing w:line="360" w:lineRule="auto"/>
      <w:ind w:firstLine="420" w:firstLineChars="200"/>
      <w:jc w:val="left"/>
    </w:pPr>
    <w:rPr>
      <w:rFonts w:ascii="Calibri" w:hAnsi="Calibri"/>
      <w:szCs w:val="22"/>
    </w:rPr>
  </w:style>
  <w:style w:type="paragraph" w:customStyle="1" w:styleId="9">
    <w:name w:val="Plain Text1"/>
    <w:basedOn w:val="1"/>
    <w:qFormat/>
    <w:uiPriority w:val="99"/>
    <w:pPr>
      <w:widowControl/>
      <w:adjustRightInd w:val="0"/>
      <w:jc w:val="left"/>
    </w:pPr>
    <w:rPr>
      <w:rFonts w:ascii="宋体" w:hAnsi="Courier New" w:eastAsia="楷体_GB2312"/>
      <w:kern w:val="0"/>
      <w:sz w:val="26"/>
      <w:szCs w:val="20"/>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404</Words>
  <Characters>2303</Characters>
  <Lines>19</Lines>
  <Paragraphs>5</Paragraphs>
  <TotalTime>8</TotalTime>
  <ScaleCrop>false</ScaleCrop>
  <LinksUpToDate>false</LinksUpToDate>
  <CharactersWithSpaces>2702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2020-10-20T05:13:00Z</dcterms:created>
  <dc:creator>Lenovo</dc:creator>
  <cp:lastModifiedBy>周叶</cp:lastModifiedBy>
  <cp:lastPrinted>2020-10-23T08:09:30Z</cp:lastPrinted>
  <dcterms:modified xsi:type="dcterms:W3CDTF">2020-10-23T08:09:38Z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