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kern w:val="0"/>
          <w:sz w:val="30"/>
          <w:szCs w:val="30"/>
          <w:lang w:bidi="en-US"/>
        </w:rPr>
      </w:pP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10"/>
        <w:spacing w:line="360" w:lineRule="auto"/>
        <w:ind w:firstLine="482" w:firstLineChars="200"/>
        <w:rPr>
          <w:rFonts w:ascii="宋体" w:hAnsi="宋体"/>
          <w:b/>
          <w:sz w:val="24"/>
        </w:rPr>
      </w:pPr>
      <w:r>
        <w:rPr>
          <w:rFonts w:hint="eastAsia" w:ascii="宋体" w:hAnsi="宋体"/>
          <w:b/>
          <w:sz w:val="24"/>
        </w:rPr>
        <w:t>（一）投标人资格审查合格条件：</w:t>
      </w:r>
    </w:p>
    <w:p>
      <w:pPr>
        <w:pStyle w:val="10"/>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10"/>
        <w:spacing w:line="360" w:lineRule="auto"/>
        <w:ind w:firstLine="720" w:firstLineChars="300"/>
        <w:rPr>
          <w:rFonts w:ascii="宋体" w:hAnsi="宋体"/>
          <w:sz w:val="24"/>
        </w:rPr>
      </w:pPr>
      <w:r>
        <w:rPr>
          <w:rFonts w:hint="eastAsia" w:ascii="宋体" w:hAnsi="宋体"/>
          <w:sz w:val="24"/>
        </w:rPr>
        <w:t>2.招标文件规定的投标人相关要求；</w:t>
      </w:r>
    </w:p>
    <w:p>
      <w:pPr>
        <w:pStyle w:val="10"/>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10"/>
        <w:spacing w:line="360" w:lineRule="auto"/>
        <w:ind w:firstLine="720" w:firstLineChars="300"/>
        <w:rPr>
          <w:rFonts w:ascii="宋体" w:hAnsi="宋体"/>
          <w:color w:val="000000"/>
          <w:sz w:val="24"/>
        </w:rPr>
      </w:pPr>
      <w:r>
        <w:rPr>
          <w:rFonts w:hint="eastAsia" w:ascii="宋体" w:hAnsi="宋体"/>
          <w:color w:val="000000"/>
          <w:sz w:val="24"/>
        </w:rPr>
        <w:t>4.投标文件中的资格审查资料没有失真或者弄虚作假；</w:t>
      </w:r>
    </w:p>
    <w:p>
      <w:pPr>
        <w:pStyle w:val="10"/>
        <w:spacing w:line="360" w:lineRule="auto"/>
        <w:ind w:firstLine="720" w:firstLineChars="300"/>
        <w:rPr>
          <w:rFonts w:ascii="宋体" w:hAnsi="宋体"/>
          <w:sz w:val="24"/>
        </w:rPr>
      </w:pPr>
      <w:r>
        <w:rPr>
          <w:rFonts w:hint="eastAsia" w:ascii="宋体" w:hAnsi="宋体"/>
          <w:sz w:val="24"/>
        </w:rPr>
        <w:t>5.投标人不得存在下列情形之一：</w:t>
      </w:r>
    </w:p>
    <w:p>
      <w:pPr>
        <w:pStyle w:val="10"/>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10"/>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10"/>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10"/>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10"/>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10"/>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10"/>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10"/>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10"/>
        <w:spacing w:line="360" w:lineRule="auto"/>
        <w:ind w:firstLine="840" w:firstLineChars="350"/>
        <w:rPr>
          <w:rFonts w:ascii="宋体" w:hAnsi="宋体"/>
          <w:sz w:val="24"/>
          <w:highlight w:val="none"/>
        </w:rPr>
      </w:pPr>
      <w:r>
        <w:rPr>
          <w:rFonts w:hint="eastAsia" w:ascii="宋体" w:hAnsi="宋体"/>
          <w:sz w:val="24"/>
          <w:highlight w:val="none"/>
        </w:rPr>
        <w:t>6.</w:t>
      </w:r>
      <w:r>
        <w:rPr>
          <w:rFonts w:hint="eastAsia" w:ascii="宋体" w:hAnsi="宋体" w:cs="宋体"/>
          <w:bCs/>
          <w:color w:val="000000"/>
          <w:sz w:val="24"/>
          <w:highlight w:val="none"/>
        </w:rPr>
        <w:t xml:space="preserve"> </w:t>
      </w:r>
      <w:r>
        <w:rPr>
          <w:rFonts w:hint="eastAsia" w:ascii="宋体" w:hAnsi="宋体"/>
          <w:sz w:val="24"/>
          <w:highlight w:val="none"/>
        </w:rPr>
        <w:t>投标人在招投标活动中存在失信行为在“江苏省建设工程招标网”“常州市公共资源交易平台”等媒介上公示且在公示期限内的，本项目的招标人拒绝其投标。</w:t>
      </w:r>
    </w:p>
    <w:p>
      <w:pPr>
        <w:pStyle w:val="10"/>
        <w:spacing w:line="360" w:lineRule="auto"/>
        <w:ind w:firstLine="482" w:firstLineChars="200"/>
        <w:rPr>
          <w:rFonts w:ascii="宋体" w:hAnsi="宋体"/>
          <w:b/>
          <w:sz w:val="24"/>
        </w:rPr>
      </w:pPr>
      <w:r>
        <w:rPr>
          <w:rFonts w:hint="eastAsia" w:ascii="宋体" w:hAnsi="宋体"/>
          <w:b/>
          <w:sz w:val="24"/>
        </w:rPr>
        <w:t>（二） 投标人及项目负责人其他要求：</w:t>
      </w:r>
    </w:p>
    <w:p>
      <w:pPr>
        <w:pStyle w:val="10"/>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10"/>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10"/>
        <w:spacing w:line="360" w:lineRule="auto"/>
        <w:ind w:firstLine="480" w:firstLineChars="200"/>
        <w:rPr>
          <w:rFonts w:ascii="宋体" w:hAnsi="宋体"/>
          <w:sz w:val="24"/>
        </w:rPr>
      </w:pPr>
      <w:r>
        <w:rPr>
          <w:rFonts w:hint="eastAsia" w:ascii="宋体" w:hAnsi="宋体"/>
          <w:sz w:val="24"/>
        </w:rPr>
        <w:t>（3）企业近三个月内没有因拖欠工人工资被招标项目所在地省、市、县（市、区）建设行政主管部门通报批评的。</w:t>
      </w:r>
    </w:p>
    <w:p>
      <w:pPr>
        <w:pStyle w:val="10"/>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三</w:t>
      </w:r>
      <w:r>
        <w:rPr>
          <w:rFonts w:hint="eastAsia" w:ascii="宋体" w:hAnsi="宋体"/>
          <w:b/>
          <w:sz w:val="24"/>
        </w:rPr>
        <w:t>）资格审查合格其他条件：</w:t>
      </w:r>
      <w:r>
        <w:rPr>
          <w:rFonts w:hint="eastAsia" w:ascii="宋体" w:hAnsi="宋体"/>
          <w:b/>
          <w:sz w:val="24"/>
          <w:u w:val="single"/>
        </w:rPr>
        <w:t xml:space="preserve">   /   </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三、由招标人委托的评标小组实施对投标人的资格审查。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四、资格审查需评审的相关资料及要求：</w:t>
      </w:r>
    </w:p>
    <w:p>
      <w:pPr>
        <w:pStyle w:val="10"/>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10"/>
        <w:spacing w:line="360" w:lineRule="auto"/>
        <w:ind w:firstLine="480" w:firstLineChars="200"/>
        <w:rPr>
          <w:rFonts w:ascii="宋体" w:hAnsi="宋体"/>
          <w:sz w:val="24"/>
        </w:rPr>
      </w:pPr>
      <w:r>
        <w:rPr>
          <w:rFonts w:hint="eastAsia" w:ascii="宋体" w:hAnsi="宋体"/>
          <w:sz w:val="24"/>
        </w:rPr>
        <w:t>4.1.1</w:t>
      </w:r>
      <w:r>
        <w:rPr>
          <w:rFonts w:hint="eastAsia" w:ascii="宋体" w:hAnsi="宋体" w:cs="宋体"/>
          <w:sz w:val="24"/>
          <w:u w:val="single"/>
        </w:rPr>
        <w:t>《常州市工程建设投标申请书》</w:t>
      </w:r>
      <w:r>
        <w:rPr>
          <w:rFonts w:hint="eastAsia" w:ascii="宋体" w:hAnsi="宋体"/>
          <w:sz w:val="24"/>
        </w:rPr>
        <w:t>（格式详见附件四-1、四-2打印且加盖单位公章及法人签字或盖章）。</w:t>
      </w:r>
    </w:p>
    <w:p>
      <w:pPr>
        <w:pStyle w:val="10"/>
        <w:spacing w:line="360" w:lineRule="auto"/>
        <w:ind w:firstLine="480" w:firstLineChars="200"/>
        <w:rPr>
          <w:rFonts w:ascii="宋体" w:hAnsi="宋体"/>
          <w:sz w:val="24"/>
        </w:rPr>
      </w:pPr>
      <w:r>
        <w:rPr>
          <w:rFonts w:hint="eastAsia" w:ascii="宋体" w:hAnsi="宋体"/>
          <w:sz w:val="24"/>
        </w:rPr>
        <w:t>4.1.2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rPr>
        <w:t>4.1.</w:t>
      </w:r>
      <w:r>
        <w:rPr>
          <w:rFonts w:hint="eastAsia" w:ascii="宋体" w:hAnsi="宋体" w:cs="宋体"/>
          <w:color w:val="000000"/>
          <w:kern w:val="0"/>
          <w:sz w:val="24"/>
          <w:lang w:val="en-US" w:eastAsia="zh-CN"/>
        </w:rPr>
        <w:t>3</w:t>
      </w:r>
      <w:r>
        <w:rPr>
          <w:rFonts w:hint="eastAsia" w:ascii="宋体" w:hAnsi="宋体" w:cs="宋体"/>
          <w:color w:val="000000"/>
          <w:kern w:val="0"/>
          <w:sz w:val="24"/>
          <w:u w:val="single"/>
        </w:rPr>
        <w:t>法定代表人身份证明文件、法人授权委托书、被委托人的第二代居民身份证原件</w:t>
      </w:r>
      <w:r>
        <w:rPr>
          <w:rFonts w:hint="eastAsia" w:ascii="宋体" w:hAnsi="宋体" w:cs="宋体"/>
          <w:color w:val="000000"/>
          <w:kern w:val="0"/>
          <w:sz w:val="24"/>
        </w:rPr>
        <w:t>及复印件加盖投标单位公章。（格式详见</w:t>
      </w:r>
      <w:r>
        <w:rPr>
          <w:rFonts w:hint="eastAsia" w:ascii="宋体" w:hAnsi="宋体"/>
          <w:sz w:val="24"/>
        </w:rPr>
        <w:t>附件四-3、四-4打印且加盖单位公章及法人签字或</w:t>
      </w:r>
      <w:r>
        <w:rPr>
          <w:rFonts w:hint="eastAsia" w:ascii="宋体" w:hAnsi="宋体"/>
          <w:sz w:val="24"/>
          <w:highlight w:val="none"/>
        </w:rPr>
        <w:t>盖章</w:t>
      </w:r>
      <w:r>
        <w:rPr>
          <w:rFonts w:hint="eastAsia" w:ascii="宋体" w:hAnsi="宋体" w:cs="宋体"/>
          <w:color w:val="000000"/>
          <w:kern w:val="0"/>
          <w:sz w:val="24"/>
          <w:highlight w:val="none"/>
        </w:rPr>
        <w:t>）</w:t>
      </w:r>
    </w:p>
    <w:p>
      <w:pPr>
        <w:pStyle w:val="10"/>
        <w:spacing w:line="360" w:lineRule="auto"/>
        <w:ind w:firstLine="480" w:firstLineChars="200"/>
        <w:rPr>
          <w:rFonts w:ascii="宋体" w:hAnsi="宋体"/>
          <w:sz w:val="24"/>
        </w:rPr>
      </w:pPr>
      <w:r>
        <w:rPr>
          <w:rFonts w:hint="eastAsia" w:ascii="宋体" w:hAnsi="宋体"/>
          <w:sz w:val="24"/>
          <w:highlight w:val="none"/>
        </w:rPr>
        <w:t>4.1.</w:t>
      </w:r>
      <w:r>
        <w:rPr>
          <w:rFonts w:hint="eastAsia" w:ascii="宋体" w:hAnsi="宋体"/>
          <w:sz w:val="24"/>
          <w:highlight w:val="none"/>
          <w:lang w:val="en-US" w:eastAsia="zh-CN"/>
        </w:rPr>
        <w:t>4</w:t>
      </w:r>
      <w:r>
        <w:rPr>
          <w:rFonts w:hint="eastAsia" w:ascii="宋体" w:hAnsi="宋体"/>
          <w:sz w:val="24"/>
          <w:highlight w:val="none"/>
        </w:rPr>
        <w:t>投标人法定代表人的</w:t>
      </w:r>
      <w:r>
        <w:rPr>
          <w:rFonts w:hint="eastAsia" w:ascii="宋体" w:hAnsi="宋体"/>
          <w:sz w:val="24"/>
          <w:highlight w:val="none"/>
          <w:u w:val="single"/>
        </w:rPr>
        <w:t>项目负责人</w:t>
      </w:r>
      <w:r>
        <w:rPr>
          <w:rFonts w:hint="eastAsia" w:ascii="宋体" w:hAnsi="宋体"/>
          <w:sz w:val="24"/>
          <w:highlight w:val="none"/>
        </w:rPr>
        <w:t>必须为本单位人员且在投标时提供</w:t>
      </w:r>
      <w:r>
        <w:rPr>
          <w:rFonts w:hint="eastAsia" w:ascii="宋体" w:hAnsi="宋体"/>
          <w:sz w:val="24"/>
          <w:highlight w:val="none"/>
          <w:u w:val="single"/>
          <w:lang w:eastAsia="zh-CN"/>
        </w:rPr>
        <w:t>2021年</w:t>
      </w:r>
      <w:r>
        <w:rPr>
          <w:rFonts w:hint="eastAsia" w:ascii="宋体" w:hAnsi="宋体"/>
          <w:sz w:val="24"/>
          <w:highlight w:val="none"/>
          <w:u w:val="single"/>
          <w:lang w:val="en-US" w:eastAsia="zh-CN"/>
        </w:rPr>
        <w:t>6</w:t>
      </w:r>
      <w:r>
        <w:rPr>
          <w:rFonts w:hint="eastAsia" w:ascii="宋体" w:hAnsi="宋体"/>
          <w:sz w:val="24"/>
          <w:highlight w:val="none"/>
          <w:u w:val="single"/>
        </w:rPr>
        <w:t>月至投标时间截止任意一个月投标人为其缴纳的</w:t>
      </w:r>
      <w:r>
        <w:rPr>
          <w:rFonts w:hint="eastAsia" w:ascii="宋体" w:hAnsi="宋体"/>
          <w:sz w:val="24"/>
          <w:highlight w:val="none"/>
          <w:u w:val="single"/>
        </w:rPr>
        <w:t>养老保险缴费证明材料</w:t>
      </w:r>
      <w:r>
        <w:rPr>
          <w:rFonts w:hint="eastAsia" w:ascii="宋体" w:hAnsi="宋体"/>
          <w:sz w:val="24"/>
          <w:highlight w:val="none"/>
        </w:rPr>
        <w:t>，并加盖社保机构章或社保机构参保缴费证明电子专用章，加盖社保机构参保缴费证明电子专用章的社保材料可视为原件（若投标人法定代表人的项目负责人为退休人</w:t>
      </w:r>
      <w:r>
        <w:rPr>
          <w:rFonts w:hint="eastAsia" w:ascii="宋体" w:hAnsi="宋体"/>
          <w:sz w:val="24"/>
        </w:rPr>
        <w:t>员，提供该人员的退休证明及投标人与其签订的聘用合同）。对无二维码扫描验证的社保证明，需提供查询验证途径。</w:t>
      </w:r>
    </w:p>
    <w:p>
      <w:pPr>
        <w:pStyle w:val="10"/>
        <w:spacing w:line="360" w:lineRule="auto"/>
        <w:ind w:firstLine="480" w:firstLineChars="200"/>
        <w:rPr>
          <w:rFonts w:hint="eastAsia" w:ascii="宋体" w:hAnsi="宋体" w:cs="宋体"/>
          <w:color w:val="000000"/>
          <w:sz w:val="24"/>
        </w:rPr>
      </w:pPr>
      <w:r>
        <w:rPr>
          <w:rFonts w:hint="eastAsia" w:ascii="宋体" w:hAnsi="宋体" w:cs="宋体"/>
          <w:color w:val="000000"/>
          <w:sz w:val="24"/>
        </w:rPr>
        <w:t>4.1.</w:t>
      </w:r>
      <w:r>
        <w:rPr>
          <w:rFonts w:hint="eastAsia" w:ascii="宋体" w:hAnsi="宋体" w:cs="宋体"/>
          <w:color w:val="000000"/>
          <w:sz w:val="24"/>
          <w:lang w:val="en-US" w:eastAsia="zh-CN"/>
        </w:rPr>
        <w:t>5</w:t>
      </w:r>
      <w:r>
        <w:rPr>
          <w:rFonts w:hint="eastAsia" w:ascii="宋体" w:hAnsi="宋体" w:cs="宋体"/>
          <w:color w:val="000000"/>
          <w:sz w:val="24"/>
          <w:u w:val="single"/>
        </w:rPr>
        <w:t>投标人承诺书</w:t>
      </w:r>
      <w:r>
        <w:rPr>
          <w:rFonts w:hint="eastAsia" w:ascii="宋体" w:hAnsi="宋体" w:cs="宋体"/>
          <w:color w:val="000000"/>
          <w:sz w:val="24"/>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10"/>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w:t>
      </w:r>
      <w:r>
        <w:rPr>
          <w:rFonts w:hint="eastAsia" w:ascii="宋体" w:hAnsi="宋体"/>
          <w:sz w:val="24"/>
          <w:highlight w:val="none"/>
        </w:rPr>
        <w:t>（注：密封袋骑缝处须加盖报名企业公章）。未按本</w:t>
      </w:r>
      <w:r>
        <w:rPr>
          <w:rFonts w:hint="eastAsia" w:ascii="宋体" w:hAnsi="宋体"/>
          <w:sz w:val="24"/>
        </w:rPr>
        <w:t>条款密封要求进行密封的资格审查文件，招标人将拒绝接收。</w:t>
      </w:r>
    </w:p>
    <w:p>
      <w:pPr>
        <w:pStyle w:val="10"/>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4.2.2资格审查资料需提供复印件（一正一副）和原件（如4.1要求提供原件），所有复印件需加盖投标单位公章。未按本条款要求提交的资格审查文件，招标人将拒绝其参加资格审查。</w:t>
      </w:r>
    </w:p>
    <w:p>
      <w:pPr>
        <w:pStyle w:val="10"/>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10"/>
        <w:spacing w:line="360" w:lineRule="auto"/>
        <w:ind w:firstLine="480" w:firstLineChars="200"/>
        <w:rPr>
          <w:rFonts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10"/>
        <w:spacing w:line="360" w:lineRule="auto"/>
        <w:ind w:firstLine="480" w:firstLineChars="200"/>
        <w:rPr>
          <w:rFonts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10"/>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6</w:t>
      </w:r>
      <w:r>
        <w:rPr>
          <w:rFonts w:hint="eastAsia" w:ascii="宋体" w:hAnsi="宋体"/>
          <w:sz w:val="24"/>
        </w:rPr>
        <w:t>任何不符合招标公告（包括附件）要求的情形视为资格审查不合格。</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none"/>
          <w:lang w:bidi="en-US"/>
        </w:rPr>
      </w:pPr>
      <w:r>
        <w:rPr>
          <w:rFonts w:hint="eastAsia" w:ascii="宋体" w:hAnsi="宋体"/>
          <w:kern w:val="0"/>
          <w:sz w:val="24"/>
          <w:highlight w:val="none"/>
          <w:lang w:bidi="en-US"/>
        </w:rPr>
        <w:t>5.1</w:t>
      </w:r>
      <w:r>
        <w:rPr>
          <w:rFonts w:ascii="宋体" w:hAnsi="宋体"/>
          <w:b/>
          <w:bCs/>
          <w:kern w:val="0"/>
          <w:sz w:val="24"/>
          <w:highlight w:val="none"/>
          <w:lang w:bidi="en-US"/>
        </w:rPr>
        <w:t>开标时间：</w:t>
      </w:r>
      <w:r>
        <w:rPr>
          <w:rFonts w:hint="eastAsia" w:ascii="宋体" w:hAnsi="宋体"/>
          <w:b/>
          <w:kern w:val="0"/>
          <w:sz w:val="24"/>
          <w:highlight w:val="none"/>
          <w:u w:val="single"/>
          <w:lang w:eastAsia="zh-CN" w:bidi="en-US"/>
        </w:rPr>
        <w:t>202</w:t>
      </w:r>
      <w:r>
        <w:rPr>
          <w:rFonts w:hint="eastAsia" w:ascii="宋体" w:hAnsi="宋体"/>
          <w:b/>
          <w:kern w:val="0"/>
          <w:sz w:val="24"/>
          <w:highlight w:val="none"/>
          <w:u w:val="single"/>
          <w:lang w:val="en-US" w:eastAsia="zh-CN" w:bidi="en-US"/>
        </w:rPr>
        <w:t>2</w:t>
      </w:r>
      <w:r>
        <w:rPr>
          <w:rFonts w:hint="eastAsia" w:ascii="宋体" w:hAnsi="宋体"/>
          <w:b/>
          <w:kern w:val="0"/>
          <w:sz w:val="24"/>
          <w:highlight w:val="none"/>
          <w:u w:val="none"/>
          <w:lang w:eastAsia="zh-CN" w:bidi="en-US"/>
        </w:rPr>
        <w:t>年</w:t>
      </w:r>
      <w:r>
        <w:rPr>
          <w:rFonts w:hint="eastAsia" w:ascii="宋体" w:hAnsi="宋体"/>
          <w:b/>
          <w:kern w:val="0"/>
          <w:sz w:val="24"/>
          <w:highlight w:val="none"/>
          <w:u w:val="single"/>
          <w:lang w:val="en-US" w:eastAsia="zh-CN" w:bidi="en-US"/>
        </w:rPr>
        <w:t>3</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14</w:t>
      </w:r>
      <w:r>
        <w:rPr>
          <w:rFonts w:ascii="宋体" w:hAnsi="宋体"/>
          <w:b/>
          <w:kern w:val="0"/>
          <w:sz w:val="24"/>
          <w:highlight w:val="none"/>
          <w:lang w:bidi="en-US"/>
        </w:rPr>
        <w:t>日</w:t>
      </w:r>
      <w:r>
        <w:rPr>
          <w:rFonts w:hint="eastAsia" w:ascii="宋体" w:hAnsi="宋体"/>
          <w:b/>
          <w:kern w:val="0"/>
          <w:sz w:val="24"/>
          <w:highlight w:val="none"/>
          <w:u w:val="single"/>
          <w:lang w:val="en-US" w:eastAsia="zh-CN" w:bidi="en-US"/>
        </w:rPr>
        <w:t>14</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w:t>
      </w:r>
    </w:p>
    <w:p>
      <w:pPr>
        <w:tabs>
          <w:tab w:val="left" w:pos="120"/>
          <w:tab w:val="left" w:pos="900"/>
          <w:tab w:val="left" w:pos="1080"/>
        </w:tabs>
        <w:spacing w:line="360" w:lineRule="auto"/>
        <w:ind w:right="21"/>
        <w:rPr>
          <w:rFonts w:ascii="宋体" w:hAnsi="宋体"/>
          <w:kern w:val="0"/>
          <w:sz w:val="24"/>
          <w:lang w:bidi="en-US"/>
        </w:rPr>
      </w:pPr>
      <w:r>
        <w:rPr>
          <w:rFonts w:ascii="宋体" w:hAnsi="宋体"/>
          <w:kern w:val="0"/>
          <w:sz w:val="24"/>
          <w:lang w:bidi="en-US"/>
        </w:rPr>
        <w:t>人自动放弃处理。）</w:t>
      </w:r>
      <w:r>
        <w:rPr>
          <w:rFonts w:hint="eastAsia" w:ascii="宋体" w:hAnsi="宋体"/>
          <w:kern w:val="0"/>
          <w:sz w:val="24"/>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hint="eastAsia" w:ascii="宋体" w:hAnsi="宋体" w:eastAsia="宋体"/>
          <w:kern w:val="0"/>
          <w:sz w:val="24"/>
          <w:lang w:eastAsia="zh-CN" w:bidi="en-US"/>
        </w:rPr>
      </w:pPr>
      <w:r>
        <w:rPr>
          <w:rFonts w:hint="eastAsia" w:ascii="宋体" w:hAnsi="宋体"/>
          <w:kern w:val="0"/>
          <w:sz w:val="24"/>
          <w:lang w:bidi="en-US"/>
        </w:rPr>
        <w:t>5.2</w:t>
      </w:r>
      <w:r>
        <w:rPr>
          <w:rFonts w:hint="eastAsia" w:ascii="宋体" w:hAnsi="宋体"/>
          <w:b/>
          <w:bCs/>
          <w:kern w:val="0"/>
          <w:sz w:val="24"/>
          <w:lang w:bidi="en-US"/>
        </w:rPr>
        <w:t>开标地点：</w:t>
      </w:r>
      <w:r>
        <w:rPr>
          <w:rFonts w:hint="eastAsia" w:ascii="宋体" w:hAnsi="宋体"/>
          <w:kern w:val="0"/>
          <w:sz w:val="24"/>
          <w:u w:val="single"/>
          <w:lang w:eastAsia="zh-CN" w:bidi="en-US"/>
        </w:rPr>
        <w:t>常州润邦招标</w:t>
      </w:r>
      <w:r>
        <w:rPr>
          <w:rFonts w:hint="eastAsia" w:ascii="宋体" w:hAnsi="宋体"/>
          <w:kern w:val="0"/>
          <w:sz w:val="24"/>
          <w:u w:val="single"/>
          <w:lang w:val="en-US" w:eastAsia="zh-CN" w:bidi="en-US"/>
        </w:rPr>
        <w:t>代理有限公司</w:t>
      </w:r>
      <w:r>
        <w:rPr>
          <w:rFonts w:hint="eastAsia" w:ascii="宋体" w:hAnsi="宋体"/>
          <w:kern w:val="0"/>
          <w:sz w:val="24"/>
          <w:u w:val="single"/>
          <w:lang w:bidi="en-US"/>
        </w:rPr>
        <w:t>开标室</w:t>
      </w:r>
      <w:r>
        <w:rPr>
          <w:rFonts w:hint="eastAsia" w:ascii="宋体" w:hAnsi="宋体"/>
          <w:kern w:val="0"/>
          <w:sz w:val="24"/>
          <w:u w:val="single"/>
          <w:lang w:eastAsia="zh-CN" w:bidi="en-US"/>
        </w:rPr>
        <w:t>（</w:t>
      </w:r>
      <w:r>
        <w:rPr>
          <w:rFonts w:hint="eastAsia" w:ascii="宋体" w:hAnsi="宋体"/>
          <w:kern w:val="0"/>
          <w:sz w:val="24"/>
          <w:u w:val="single"/>
          <w:lang w:val="en-US" w:eastAsia="zh-CN" w:bidi="en-US"/>
        </w:rPr>
        <w:t>一</w:t>
      </w:r>
      <w:r>
        <w:rPr>
          <w:rFonts w:hint="eastAsia" w:ascii="宋体" w:hAnsi="宋体"/>
          <w:kern w:val="0"/>
          <w:sz w:val="24"/>
          <w:u w:val="single"/>
          <w:lang w:eastAsia="zh-CN" w:bidi="en-US"/>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六、备注：</w:t>
      </w:r>
    </w:p>
    <w:p>
      <w:pPr>
        <w:pStyle w:val="10"/>
        <w:spacing w:line="360" w:lineRule="auto"/>
        <w:ind w:firstLine="470" w:firstLineChars="196"/>
        <w:rPr>
          <w:rFonts w:ascii="宋体" w:hAnsi="宋体"/>
          <w:sz w:val="24"/>
        </w:rPr>
      </w:pPr>
      <w:r>
        <w:rPr>
          <w:rFonts w:hint="eastAsia" w:ascii="宋体" w:hAnsi="宋体"/>
          <w:sz w:val="24"/>
        </w:rPr>
        <w:t>本工程不满3家单位投标（若第一次招标）将重新组织招标。</w:t>
      </w:r>
    </w:p>
    <w:p>
      <w:pPr>
        <w:rPr>
          <w:rFonts w:hint="eastAsia"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spacing w:line="460" w:lineRule="exact"/>
        <w:jc w:val="center"/>
        <w:rPr>
          <w:b/>
          <w:color w:val="000000"/>
          <w:sz w:val="44"/>
          <w:szCs w:val="44"/>
        </w:rPr>
      </w:pPr>
      <w:r>
        <w:rPr>
          <w:b/>
          <w:color w:val="000000"/>
          <w:sz w:val="44"/>
          <w:szCs w:val="44"/>
        </w:rPr>
        <w:t>评</w:t>
      </w:r>
      <w:r>
        <w:rPr>
          <w:rFonts w:hint="eastAsia"/>
          <w:b/>
          <w:color w:val="000000"/>
          <w:sz w:val="44"/>
          <w:szCs w:val="44"/>
        </w:rPr>
        <w:t xml:space="preserve">  </w:t>
      </w:r>
      <w:r>
        <w:rPr>
          <w:b/>
          <w:color w:val="000000"/>
          <w:sz w:val="44"/>
          <w:szCs w:val="44"/>
        </w:rPr>
        <w:t>标</w:t>
      </w:r>
      <w:r>
        <w:rPr>
          <w:rFonts w:hint="eastAsia"/>
          <w:b/>
          <w:color w:val="000000"/>
          <w:sz w:val="44"/>
          <w:szCs w:val="44"/>
        </w:rPr>
        <w:t xml:space="preserve">  </w:t>
      </w:r>
      <w:r>
        <w:rPr>
          <w:b/>
          <w:color w:val="000000"/>
          <w:sz w:val="44"/>
          <w:szCs w:val="44"/>
        </w:rPr>
        <w:t>细</w:t>
      </w:r>
      <w:r>
        <w:rPr>
          <w:rFonts w:hint="eastAsia"/>
          <w:b/>
          <w:color w:val="000000"/>
          <w:sz w:val="44"/>
          <w:szCs w:val="44"/>
        </w:rPr>
        <w:t xml:space="preserve">  </w:t>
      </w:r>
      <w:r>
        <w:rPr>
          <w:b/>
          <w:color w:val="000000"/>
          <w:sz w:val="44"/>
          <w:szCs w:val="44"/>
        </w:rPr>
        <w:t>则</w:t>
      </w:r>
    </w:p>
    <w:p>
      <w:pPr>
        <w:adjustRightInd w:val="0"/>
        <w:snapToGrid w:val="0"/>
        <w:spacing w:line="360" w:lineRule="auto"/>
        <w:ind w:firstLine="480" w:firstLineChars="200"/>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b/>
          <w:bCs/>
          <w:kern w:val="0"/>
          <w:sz w:val="24"/>
          <w:szCs w:val="24"/>
          <w:lang w:bidi="en-US"/>
        </w:rPr>
      </w:pPr>
      <w:r>
        <w:rPr>
          <w:rFonts w:hint="eastAsia" w:ascii="宋体" w:hAnsi="宋体"/>
          <w:b/>
          <w:bCs/>
          <w:kern w:val="0"/>
          <w:sz w:val="24"/>
          <w:szCs w:val="24"/>
          <w:lang w:bidi="en-US"/>
        </w:rPr>
        <w:t>本工程只对经过评审确定为有效标书的投标文件进入评审，采用</w:t>
      </w:r>
      <w:r>
        <w:rPr>
          <w:rFonts w:hint="eastAsia" w:ascii="宋体" w:hAnsi="宋体"/>
          <w:b/>
          <w:bCs/>
          <w:kern w:val="0"/>
          <w:sz w:val="24"/>
          <w:szCs w:val="24"/>
          <w:lang w:val="en-US" w:eastAsia="zh-CN" w:bidi="en-US"/>
        </w:rPr>
        <w:t>综合评估法</w:t>
      </w:r>
      <w:r>
        <w:rPr>
          <w:rFonts w:hint="eastAsia" w:ascii="宋体" w:hAnsi="宋体"/>
          <w:b/>
          <w:bCs/>
          <w:kern w:val="0"/>
          <w:sz w:val="24"/>
          <w:szCs w:val="24"/>
          <w:lang w:bidi="en-US"/>
        </w:rPr>
        <w:t>评标，以综合得分最高且能满足招标文件实质性要求的投标单位为中标单位</w:t>
      </w:r>
      <w:r>
        <w:rPr>
          <w:rFonts w:hint="eastAsia" w:ascii="宋体" w:hAnsi="宋体"/>
          <w:b/>
          <w:bCs/>
          <w:kern w:val="0"/>
          <w:sz w:val="24"/>
          <w:szCs w:val="24"/>
          <w:lang w:eastAsia="zh-CN" w:bidi="en-US"/>
        </w:rPr>
        <w:t>，</w:t>
      </w:r>
      <w:r>
        <w:rPr>
          <w:rFonts w:hint="eastAsia" w:ascii="宋体" w:hAnsi="宋体"/>
          <w:b/>
          <w:bCs/>
          <w:kern w:val="0"/>
          <w:sz w:val="24"/>
          <w:szCs w:val="24"/>
          <w:lang w:bidi="en-US"/>
        </w:rPr>
        <w:t>具体办法如下：</w:t>
      </w:r>
    </w:p>
    <w:p>
      <w:pPr>
        <w:ind w:firstLine="482" w:firstLineChars="200"/>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评分办法</w:t>
      </w:r>
      <w:r>
        <w:rPr>
          <w:rFonts w:hint="eastAsia" w:ascii="宋体" w:hAnsi="宋体"/>
          <w:b/>
          <w:sz w:val="24"/>
          <w:szCs w:val="24"/>
        </w:rPr>
        <w:t>（</w:t>
      </w:r>
      <w:r>
        <w:rPr>
          <w:rFonts w:hint="eastAsia" w:ascii="宋体" w:hAnsi="宋体"/>
          <w:b/>
          <w:sz w:val="24"/>
          <w:szCs w:val="24"/>
          <w:lang w:val="en-US" w:eastAsia="zh-CN"/>
        </w:rPr>
        <w:t>100</w:t>
      </w:r>
      <w:r>
        <w:rPr>
          <w:rFonts w:hint="eastAsia" w:ascii="宋体" w:hAnsi="宋体"/>
          <w:b/>
          <w:sz w:val="24"/>
          <w:szCs w:val="24"/>
        </w:rPr>
        <w:t>分）</w:t>
      </w:r>
    </w:p>
    <w:tbl>
      <w:tblPr>
        <w:tblStyle w:val="8"/>
        <w:tblW w:w="88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02"/>
        <w:gridCol w:w="585"/>
        <w:gridCol w:w="344"/>
        <w:gridCol w:w="71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blHeader/>
          <w:jc w:val="center"/>
        </w:trPr>
        <w:tc>
          <w:tcPr>
            <w:tcW w:w="1387" w:type="dxa"/>
            <w:gridSpan w:val="2"/>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评分项目</w:t>
            </w:r>
          </w:p>
        </w:tc>
        <w:tc>
          <w:tcPr>
            <w:tcW w:w="344"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分值</w:t>
            </w:r>
          </w:p>
        </w:tc>
        <w:tc>
          <w:tcPr>
            <w:tcW w:w="7105"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商务部分（71分）</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价格</w:t>
            </w:r>
          </w:p>
        </w:tc>
        <w:tc>
          <w:tcPr>
            <w:tcW w:w="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default"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65</w:t>
            </w:r>
          </w:p>
        </w:tc>
        <w:tc>
          <w:tcPr>
            <w:tcW w:w="7105" w:type="dxa"/>
            <w:tcBorders>
              <w:tl2br w:val="nil"/>
              <w:tr2bl w:val="nil"/>
            </w:tcBorders>
            <w:noWrap w:val="0"/>
            <w:vAlign w:val="top"/>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kern w:val="0"/>
                <w:sz w:val="24"/>
                <w:szCs w:val="24"/>
                <w:highlight w:val="none"/>
                <w:lang w:bidi="en-US"/>
              </w:rPr>
            </w:pPr>
            <w:r>
              <w:rPr>
                <w:rFonts w:hint="eastAsia" w:asciiTheme="minorEastAsia" w:hAnsiTheme="minorEastAsia" w:eastAsiaTheme="minorEastAsia" w:cstheme="minorEastAsia"/>
                <w:b/>
                <w:kern w:val="0"/>
                <w:sz w:val="24"/>
                <w:szCs w:val="24"/>
                <w:highlight w:val="none"/>
                <w:lang w:bidi="en-US"/>
              </w:rPr>
              <w:t>1、招标控制价的确定</w:t>
            </w:r>
          </w:p>
          <w:p>
            <w:pPr>
              <w:keepNext w:val="0"/>
              <w:keepLines w:val="0"/>
              <w:pageBreakBefore w:val="0"/>
              <w:widowControl/>
              <w:kinsoku/>
              <w:wordWrap/>
              <w:overflowPunct/>
              <w:topLinePunct w:val="0"/>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招标单位按照招标文件编制的招标控制价，并由投标单位校核。投标单位的投标报价超过招标控制价时按废标处理。</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kern w:val="0"/>
                <w:sz w:val="24"/>
                <w:szCs w:val="24"/>
                <w:highlight w:val="none"/>
                <w:lang w:bidi="en-US"/>
              </w:rPr>
            </w:pPr>
            <w:r>
              <w:rPr>
                <w:rFonts w:hint="eastAsia" w:asciiTheme="minorEastAsia" w:hAnsiTheme="minorEastAsia" w:eastAsiaTheme="minorEastAsia" w:cstheme="minorEastAsia"/>
                <w:b/>
                <w:kern w:val="0"/>
                <w:sz w:val="24"/>
                <w:szCs w:val="24"/>
                <w:highlight w:val="none"/>
                <w:lang w:bidi="en-US"/>
              </w:rPr>
              <w:t>2、评标基准价的确定</w:t>
            </w:r>
          </w:p>
          <w:p>
            <w:pPr>
              <w:keepNext w:val="0"/>
              <w:keepLines w:val="0"/>
              <w:pageBreakBefore w:val="0"/>
              <w:widowControl/>
              <w:kinsoku/>
              <w:wordWrap/>
              <w:overflowPunct/>
              <w:topLinePunct w:val="0"/>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设低于招标控制价的所有投标人的投标报价的算数平均值为A（若有效投标文件为7家以下时所有投标人的投标报价全部参与合成算数平均值A；若有效投标文件为7家或7家以上时，去掉其中的一个最高投标报价和一个最低投标报价后取算术平均值为A；若有效投标文件为10家或10家以上时，去掉其中的两个最高投标报价和两个最低投标报价后取算术平均值为A。）。</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kern w:val="0"/>
                <w:sz w:val="24"/>
                <w:szCs w:val="24"/>
                <w:highlight w:val="none"/>
                <w:lang w:bidi="en-US"/>
              </w:rPr>
            </w:pPr>
            <w:r>
              <w:rPr>
                <w:rFonts w:hint="eastAsia" w:asciiTheme="minorEastAsia" w:hAnsiTheme="minorEastAsia" w:eastAsiaTheme="minorEastAsia" w:cstheme="minorEastAsia"/>
                <w:b/>
                <w:kern w:val="0"/>
                <w:sz w:val="24"/>
                <w:szCs w:val="24"/>
                <w:highlight w:val="none"/>
                <w:lang w:bidi="en-US"/>
              </w:rPr>
              <w:t>3、确定评标基准价为C</w:t>
            </w:r>
          </w:p>
          <w:p>
            <w:pPr>
              <w:keepNext w:val="0"/>
              <w:keepLines w:val="0"/>
              <w:pageBreakBefore w:val="0"/>
              <w:widowControl/>
              <w:kinsoku/>
              <w:wordWrap/>
              <w:overflowPunct/>
              <w:topLinePunct w:val="0"/>
              <w:bidi w:val="0"/>
              <w:adjustRightInd/>
              <w:snapToGrid/>
              <w:spacing w:line="240" w:lineRule="auto"/>
              <w:ind w:left="120" w:leftChars="57" w:firstLine="360" w:firstLineChars="150"/>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评标基准价C=A×K，其中K值在开标后评审小组的所有评委签字确定有效标后，由投标人推选的代表随机抽取确定，仅抽取一次，K值取值范围为95%、95.5%、96%、96.5%、97%、97.5%、98%。</w:t>
            </w:r>
          </w:p>
          <w:p>
            <w:pPr>
              <w:keepNext w:val="0"/>
              <w:keepLines w:val="0"/>
              <w:pageBreakBefore w:val="0"/>
              <w:widowControl/>
              <w:kinsoku/>
              <w:wordWrap/>
              <w:overflowPunct/>
              <w:topLinePunct w:val="0"/>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C值一经确定，在后续的评审中出现的任何情形都将不改变C值的结果。</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kern w:val="0"/>
                <w:sz w:val="24"/>
                <w:szCs w:val="24"/>
                <w:highlight w:val="none"/>
                <w:lang w:bidi="en-US"/>
              </w:rPr>
            </w:pPr>
            <w:r>
              <w:rPr>
                <w:rFonts w:hint="eastAsia" w:asciiTheme="minorEastAsia" w:hAnsiTheme="minorEastAsia" w:eastAsiaTheme="minorEastAsia" w:cstheme="minorEastAsia"/>
                <w:b/>
                <w:kern w:val="0"/>
                <w:sz w:val="24"/>
                <w:szCs w:val="24"/>
                <w:highlight w:val="none"/>
                <w:lang w:bidi="en-US"/>
              </w:rPr>
              <w:t>4、计算投标误差率</w:t>
            </w:r>
          </w:p>
          <w:p>
            <w:pPr>
              <w:keepNext w:val="0"/>
              <w:keepLines w:val="0"/>
              <w:pageBreakBefore w:val="0"/>
              <w:widowControl/>
              <w:kinsoku/>
              <w:wordWrap/>
              <w:overflowPunct/>
              <w:topLinePunct w:val="0"/>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投标误差率＝（投标人投标报价－评标基准价）/评标基准价*100%（取百分数小数点后2位）。</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kern w:val="0"/>
                <w:sz w:val="24"/>
                <w:szCs w:val="24"/>
                <w:highlight w:val="none"/>
                <w:lang w:bidi="en-US"/>
              </w:rPr>
            </w:pPr>
            <w:r>
              <w:rPr>
                <w:rFonts w:hint="eastAsia" w:asciiTheme="minorEastAsia" w:hAnsiTheme="minorEastAsia" w:eastAsiaTheme="minorEastAsia" w:cstheme="minorEastAsia"/>
                <w:b/>
                <w:kern w:val="0"/>
                <w:sz w:val="24"/>
                <w:szCs w:val="24"/>
                <w:highlight w:val="none"/>
                <w:lang w:bidi="en-US"/>
              </w:rPr>
              <w:t>5、计算扣分值</w:t>
            </w:r>
          </w:p>
          <w:p>
            <w:pPr>
              <w:keepNext w:val="0"/>
              <w:keepLines w:val="0"/>
              <w:pageBreakBefore w:val="0"/>
              <w:widowControl/>
              <w:kinsoku/>
              <w:wordWrap/>
              <w:overflowPunct/>
              <w:topLinePunct w:val="0"/>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扣分值＝投标误差率×每误差1％的扣分值*100（1％以内用插入法）。</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lang w:bidi="en-US"/>
              </w:rPr>
            </w:pPr>
            <w:r>
              <w:rPr>
                <w:rFonts w:hint="eastAsia" w:asciiTheme="minorEastAsia" w:hAnsiTheme="minorEastAsia" w:eastAsiaTheme="minorEastAsia" w:cstheme="minorEastAsia"/>
                <w:kern w:val="0"/>
                <w:sz w:val="24"/>
                <w:szCs w:val="24"/>
                <w:highlight w:val="none"/>
                <w:lang w:bidi="en-US"/>
              </w:rPr>
              <w:t>每误差＋1％扣</w:t>
            </w:r>
            <w:r>
              <w:rPr>
                <w:rFonts w:hint="eastAsia" w:asciiTheme="minorEastAsia" w:hAnsiTheme="minorEastAsia" w:eastAsiaTheme="minorEastAsia" w:cstheme="minorEastAsia"/>
                <w:b/>
                <w:kern w:val="0"/>
                <w:sz w:val="24"/>
                <w:szCs w:val="24"/>
                <w:highlight w:val="none"/>
                <w:u w:val="single"/>
                <w:lang w:bidi="en-US"/>
              </w:rPr>
              <w:t xml:space="preserve">  0.</w:t>
            </w:r>
            <w:r>
              <w:rPr>
                <w:rFonts w:hint="eastAsia" w:asciiTheme="minorEastAsia" w:hAnsiTheme="minorEastAsia" w:eastAsiaTheme="minorEastAsia" w:cstheme="minorEastAsia"/>
                <w:b/>
                <w:kern w:val="0"/>
                <w:sz w:val="24"/>
                <w:szCs w:val="24"/>
                <w:highlight w:val="none"/>
                <w:u w:val="single"/>
                <w:lang w:val="en-US" w:eastAsia="zh-CN" w:bidi="en-US"/>
              </w:rPr>
              <w:t>3</w:t>
            </w:r>
            <w:r>
              <w:rPr>
                <w:rFonts w:hint="eastAsia" w:asciiTheme="minorEastAsia" w:hAnsiTheme="minorEastAsia" w:eastAsiaTheme="minorEastAsia" w:cstheme="minorEastAsia"/>
                <w:b/>
                <w:kern w:val="0"/>
                <w:sz w:val="24"/>
                <w:szCs w:val="24"/>
                <w:highlight w:val="none"/>
                <w:u w:val="single"/>
                <w:lang w:bidi="en-US"/>
              </w:rPr>
              <w:t xml:space="preserve"> </w:t>
            </w:r>
            <w:r>
              <w:rPr>
                <w:rFonts w:hint="eastAsia" w:asciiTheme="minorEastAsia" w:hAnsiTheme="minorEastAsia" w:eastAsiaTheme="minorEastAsia" w:cstheme="minorEastAsia"/>
                <w:kern w:val="0"/>
                <w:sz w:val="24"/>
                <w:szCs w:val="24"/>
                <w:highlight w:val="none"/>
                <w:lang w:bidi="en-US"/>
              </w:rPr>
              <w:t>分，每误差－1％扣</w:t>
            </w:r>
            <w:r>
              <w:rPr>
                <w:rFonts w:hint="eastAsia" w:asciiTheme="minorEastAsia" w:hAnsiTheme="minorEastAsia" w:eastAsiaTheme="minorEastAsia" w:cstheme="minorEastAsia"/>
                <w:b/>
                <w:kern w:val="0"/>
                <w:sz w:val="24"/>
                <w:szCs w:val="24"/>
                <w:highlight w:val="none"/>
                <w:u w:val="single"/>
                <w:lang w:bidi="en-US"/>
              </w:rPr>
              <w:t xml:space="preserve">  0.</w:t>
            </w:r>
            <w:r>
              <w:rPr>
                <w:rFonts w:hint="eastAsia" w:asciiTheme="minorEastAsia" w:hAnsiTheme="minorEastAsia" w:eastAsiaTheme="minorEastAsia" w:cstheme="minorEastAsia"/>
                <w:b/>
                <w:kern w:val="0"/>
                <w:sz w:val="24"/>
                <w:szCs w:val="24"/>
                <w:highlight w:val="none"/>
                <w:u w:val="single"/>
                <w:lang w:val="en-US" w:eastAsia="zh-CN" w:bidi="en-US"/>
              </w:rPr>
              <w:t xml:space="preserve">3 </w:t>
            </w:r>
            <w:r>
              <w:rPr>
                <w:rFonts w:hint="eastAsia" w:asciiTheme="minorEastAsia" w:hAnsiTheme="minorEastAsia" w:eastAsiaTheme="minorEastAsia" w:cstheme="minorEastAsia"/>
                <w:b/>
                <w:kern w:val="0"/>
                <w:sz w:val="24"/>
                <w:szCs w:val="24"/>
                <w:highlight w:val="none"/>
                <w:u w:val="single"/>
                <w:lang w:bidi="en-US"/>
              </w:rPr>
              <w:t xml:space="preserve"> </w:t>
            </w:r>
            <w:r>
              <w:rPr>
                <w:rFonts w:hint="eastAsia" w:asciiTheme="minorEastAsia" w:hAnsiTheme="minorEastAsia" w:eastAsiaTheme="minorEastAsia" w:cstheme="minorEastAsia"/>
                <w:kern w:val="0"/>
                <w:sz w:val="24"/>
                <w:szCs w:val="24"/>
                <w:highlight w:val="none"/>
                <w:lang w:bidi="en-US"/>
              </w:rPr>
              <w:t>分</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kern w:val="0"/>
                <w:sz w:val="24"/>
                <w:szCs w:val="24"/>
                <w:highlight w:val="none"/>
                <w:lang w:bidi="en-US"/>
              </w:rPr>
            </w:pPr>
            <w:r>
              <w:rPr>
                <w:rFonts w:hint="eastAsia" w:asciiTheme="minorEastAsia" w:hAnsiTheme="minorEastAsia" w:eastAsiaTheme="minorEastAsia" w:cstheme="minorEastAsia"/>
                <w:b/>
                <w:kern w:val="0"/>
                <w:sz w:val="24"/>
                <w:szCs w:val="24"/>
                <w:highlight w:val="none"/>
                <w:lang w:bidi="en-US"/>
              </w:rPr>
              <w:t>6、计算投标报价得分</w:t>
            </w:r>
          </w:p>
          <w:p>
            <w:pPr>
              <w:keepNext w:val="0"/>
              <w:keepLines w:val="0"/>
              <w:pageBreakBefore w:val="0"/>
              <w:widowControl/>
              <w:kinsoku/>
              <w:wordWrap/>
              <w:overflowPunct/>
              <w:topLinePunct w:val="0"/>
              <w:bidi w:val="0"/>
              <w:adjustRightInd/>
              <w:snapToGrid/>
              <w:spacing w:line="240" w:lineRule="auto"/>
              <w:ind w:firstLine="470" w:firstLineChars="19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en-US"/>
              </w:rPr>
              <w:t>投标报价得分=</w:t>
            </w:r>
            <w:r>
              <w:rPr>
                <w:rFonts w:hint="eastAsia" w:asciiTheme="minorEastAsia" w:hAnsiTheme="minorEastAsia" w:eastAsiaTheme="minorEastAsia" w:cstheme="minorEastAsia"/>
                <w:kern w:val="0"/>
                <w:sz w:val="24"/>
                <w:szCs w:val="24"/>
                <w:highlight w:val="none"/>
                <w:lang w:val="en-US" w:eastAsia="zh-CN" w:bidi="en-US"/>
              </w:rPr>
              <w:t>65</w:t>
            </w:r>
            <w:r>
              <w:rPr>
                <w:rFonts w:hint="eastAsia" w:asciiTheme="minorEastAsia" w:hAnsiTheme="minorEastAsia" w:eastAsiaTheme="minorEastAsia" w:cstheme="minorEastAsia"/>
                <w:kern w:val="0"/>
                <w:sz w:val="24"/>
                <w:szCs w:val="24"/>
                <w:highlight w:val="none"/>
                <w:lang w:bidi="en-US"/>
              </w:rPr>
              <w:t>分－投标报价扣分值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Merge w:val="continue"/>
            <w:tcBorders>
              <w:tl2br w:val="nil"/>
              <w:tr2bl w:val="nil"/>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default" w:asciiTheme="minorEastAsia" w:hAnsiTheme="minorEastAsia" w:eastAsiaTheme="minorEastAsia" w:cstheme="minorEastAsia"/>
                <w:b w:val="0"/>
                <w:bCs/>
                <w:kern w:val="0"/>
                <w:sz w:val="24"/>
                <w:szCs w:val="24"/>
                <w:lang w:val="en-US" w:eastAsia="zh-CN"/>
              </w:rPr>
            </w:pPr>
          </w:p>
        </w:tc>
        <w:tc>
          <w:tcPr>
            <w:tcW w:w="585"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体系认证</w:t>
            </w:r>
          </w:p>
        </w:tc>
        <w:tc>
          <w:tcPr>
            <w:tcW w:w="344"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default"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6</w:t>
            </w:r>
          </w:p>
        </w:tc>
        <w:tc>
          <w:tcPr>
            <w:tcW w:w="7105" w:type="dxa"/>
            <w:tcBorders>
              <w:tl2br w:val="nil"/>
              <w:tr2bl w:val="nil"/>
            </w:tcBorders>
            <w:shd w:val="clear" w:color="auto" w:fill="auto"/>
            <w:noWrap w:val="0"/>
            <w:vAlign w:val="top"/>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lang w:val="en-US" w:eastAsia="zh-CN" w:bidi="en-US"/>
              </w:rPr>
            </w:pPr>
            <w:r>
              <w:rPr>
                <w:rFonts w:hint="eastAsia" w:asciiTheme="minorEastAsia" w:hAnsiTheme="minorEastAsia" w:eastAsiaTheme="minorEastAsia" w:cstheme="minorEastAsia"/>
                <w:kern w:val="0"/>
                <w:sz w:val="24"/>
                <w:szCs w:val="24"/>
                <w:highlight w:val="none"/>
                <w:lang w:val="en-US" w:eastAsia="zh-CN" w:bidi="en-US"/>
              </w:rPr>
              <w:t>投标人具有有效期内的质量管理体系认证证书、环境管理体系认证证书、职业健康安全管理体系认证证书的，每提供1项，得2分，最高得6分。投标文件中提供证书复印件并加盖公章。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5" w:hRule="exact"/>
          <w:jc w:val="center"/>
        </w:trPr>
        <w:tc>
          <w:tcPr>
            <w:tcW w:w="8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技术部分（28分）</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施工方案</w:t>
            </w:r>
          </w:p>
        </w:tc>
        <w:tc>
          <w:tcPr>
            <w:tcW w:w="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default"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10</w:t>
            </w:r>
          </w:p>
        </w:tc>
        <w:tc>
          <w:tcPr>
            <w:tcW w:w="7105"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提供针对本项目的施工方案，包括但不限于项目概述、总体安排及安装部署等。</w:t>
            </w:r>
          </w:p>
          <w:p>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pacing w:val="-5"/>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方案针对性强、总体安排合理、施工规范、可行性强等，完全符合采购文件要求的得8-10分；方案针对性较强、总体安排较合理、施工较规范、可行性较强等，比较符合采购文件要求的得4-7分；方案针对性弱、总体安排欠合理、施工欠规范、可行性一般等，基本符合采购文件要求的得1-3分；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1" w:hRule="exact"/>
          <w:jc w:val="center"/>
        </w:trPr>
        <w:tc>
          <w:tcPr>
            <w:tcW w:w="80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w w:val="105"/>
                <w:sz w:val="24"/>
                <w:szCs w:val="24"/>
                <w:lang w:val="en-US" w:eastAsia="zh-CN"/>
              </w:rPr>
            </w:pP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现场管理</w:t>
            </w:r>
          </w:p>
        </w:tc>
        <w:tc>
          <w:tcPr>
            <w:tcW w:w="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6</w:t>
            </w:r>
          </w:p>
        </w:tc>
        <w:tc>
          <w:tcPr>
            <w:tcW w:w="710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提供针对本项目的人员安排、机械设备和材料等投入计划安排。</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pacing w:val="-5"/>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人员安排合理，机械设备投入充足、材料进场时间安排非常合理的，得5-6分；人员安排较合理，机械设备投入较充足、材料进场时间安排较合理的，得3-4分；人员安排基本合理，机械设备投入一般、材料进场时间安排基本合理的，得1-2分；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80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进度管理</w:t>
            </w:r>
          </w:p>
        </w:tc>
        <w:tc>
          <w:tcPr>
            <w:tcW w:w="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6</w:t>
            </w:r>
          </w:p>
        </w:tc>
        <w:tc>
          <w:tcPr>
            <w:tcW w:w="710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提供针对本项目的实施进度计划和进度的保证措施，投标文件中提供进度计划安排（格式不限）。</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color w:val="000000"/>
                <w:kern w:val="0"/>
                <w:sz w:val="24"/>
                <w:szCs w:val="24"/>
                <w:lang w:val="en-US" w:eastAsia="zh-CN" w:bidi="ar"/>
              </w:rPr>
              <w:t>进度计划安排合理、进度保证措施完善的，得5-6分；进度计划安排较为合理、进度保证措施较为完善的，得3-4分；进度计划安排一般合理、进度保证措施一般的，得1-2分；未提供本项不得分。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0" w:hRule="atLeast"/>
          <w:jc w:val="center"/>
        </w:trPr>
        <w:tc>
          <w:tcPr>
            <w:tcW w:w="802" w:type="dxa"/>
            <w:vMerge w:val="continue"/>
            <w:tcBorders>
              <w:bottom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质量管理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p>
        </w:tc>
        <w:tc>
          <w:tcPr>
            <w:tcW w:w="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6</w:t>
            </w:r>
          </w:p>
        </w:tc>
        <w:tc>
          <w:tcPr>
            <w:tcW w:w="7105"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提供针对本项目的关键安装技术、工艺及工程项目实施的重点、难点和解决方案（不少于2条）。</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关键施工技术的重难点针对性强，解决方案合理的，得5-6分；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关键施工技术的重难点针对性较强，解决方案较合理的，得3-4分；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关键施工技术的重难点针对性一般，解决方案一般的，得1-2分；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1387" w:type="dxa"/>
            <w:gridSpan w:val="2"/>
            <w:tcBorders>
              <w:top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val="en-US" w:eastAsia="zh-CN"/>
              </w:rPr>
            </w:pPr>
            <w:r>
              <w:rPr>
                <w:rStyle w:val="12"/>
                <w:rFonts w:hint="eastAsia" w:asciiTheme="minorEastAsia" w:hAnsiTheme="minorEastAsia" w:eastAsiaTheme="minorEastAsia" w:cstheme="minorEastAsia"/>
                <w:b w:val="0"/>
                <w:bCs/>
                <w:kern w:val="0"/>
                <w:sz w:val="24"/>
                <w:szCs w:val="24"/>
                <w:lang w:val="en-US" w:eastAsia="zh-CN"/>
              </w:rPr>
              <w:t>文件编制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Theme="minorEastAsia" w:hAnsiTheme="minorEastAsia" w:eastAsiaTheme="minorEastAsia" w:cstheme="minorEastAsia"/>
                <w:b w:val="0"/>
                <w:bCs/>
                <w:kern w:val="0"/>
                <w:sz w:val="24"/>
                <w:szCs w:val="24"/>
                <w:lang w:eastAsia="zh-CN"/>
              </w:rPr>
            </w:pPr>
            <w:r>
              <w:rPr>
                <w:rStyle w:val="12"/>
                <w:rFonts w:hint="eastAsia" w:asciiTheme="minorEastAsia" w:hAnsiTheme="minorEastAsia" w:eastAsiaTheme="minorEastAsia" w:cstheme="minorEastAsia"/>
                <w:b w:val="0"/>
                <w:bCs/>
                <w:kern w:val="0"/>
                <w:sz w:val="24"/>
                <w:szCs w:val="24"/>
                <w:lang w:eastAsia="zh-CN"/>
              </w:rPr>
              <w:t>（</w:t>
            </w:r>
            <w:r>
              <w:rPr>
                <w:rStyle w:val="12"/>
                <w:rFonts w:hint="eastAsia" w:asciiTheme="minorEastAsia" w:hAnsiTheme="minorEastAsia" w:eastAsiaTheme="minorEastAsia" w:cstheme="minorEastAsia"/>
                <w:b w:val="0"/>
                <w:bCs/>
                <w:kern w:val="0"/>
                <w:sz w:val="24"/>
                <w:szCs w:val="24"/>
                <w:lang w:val="en-US" w:eastAsia="zh-CN"/>
              </w:rPr>
              <w:t>1分</w:t>
            </w:r>
            <w:r>
              <w:rPr>
                <w:rStyle w:val="12"/>
                <w:rFonts w:hint="eastAsia" w:asciiTheme="minorEastAsia" w:hAnsiTheme="minorEastAsia" w:eastAsiaTheme="minorEastAsia" w:cstheme="minorEastAsia"/>
                <w:b w:val="0"/>
                <w:bCs/>
                <w:kern w:val="0"/>
                <w:sz w:val="24"/>
                <w:szCs w:val="24"/>
                <w:lang w:eastAsia="zh-CN"/>
              </w:rPr>
              <w:t>）</w:t>
            </w:r>
          </w:p>
        </w:tc>
        <w:tc>
          <w:tcPr>
            <w:tcW w:w="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kern w:val="0"/>
                <w:sz w:val="24"/>
                <w:szCs w:val="24"/>
                <w:lang w:val="en-US" w:eastAsia="zh-CN" w:bidi="ar-SA"/>
              </w:rPr>
            </w:pPr>
            <w:r>
              <w:rPr>
                <w:rStyle w:val="12"/>
                <w:rFonts w:hint="eastAsia" w:asciiTheme="minorEastAsia" w:hAnsiTheme="minorEastAsia" w:eastAsiaTheme="minorEastAsia" w:cstheme="minorEastAsia"/>
                <w:b w:val="0"/>
                <w:bCs/>
                <w:kern w:val="0"/>
                <w:sz w:val="24"/>
                <w:szCs w:val="24"/>
                <w:lang w:val="en-US" w:eastAsia="zh-CN"/>
              </w:rPr>
              <w:t>1</w:t>
            </w:r>
          </w:p>
        </w:tc>
        <w:tc>
          <w:tcPr>
            <w:tcW w:w="71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kern w:val="0"/>
                <w:sz w:val="24"/>
                <w:szCs w:val="24"/>
                <w:lang w:val="en-US" w:eastAsia="zh-CN" w:bidi="ar-SA"/>
              </w:rPr>
            </w:pPr>
            <w:r>
              <w:rPr>
                <w:rStyle w:val="12"/>
                <w:rFonts w:hint="eastAsia" w:asciiTheme="minorEastAsia" w:hAnsiTheme="minorEastAsia" w:eastAsiaTheme="minorEastAsia" w:cstheme="minorEastAsia"/>
                <w:b w:val="0"/>
                <w:bCs/>
                <w:kern w:val="0"/>
                <w:sz w:val="24"/>
                <w:szCs w:val="24"/>
              </w:rPr>
              <w:t>根据</w:t>
            </w:r>
            <w:r>
              <w:rPr>
                <w:rStyle w:val="12"/>
                <w:rFonts w:hint="eastAsia" w:asciiTheme="minorEastAsia" w:hAnsiTheme="minorEastAsia" w:eastAsiaTheme="minorEastAsia" w:cstheme="minorEastAsia"/>
                <w:b w:val="0"/>
                <w:bCs/>
                <w:kern w:val="0"/>
                <w:sz w:val="24"/>
                <w:szCs w:val="24"/>
                <w:lang w:val="en-US" w:eastAsia="zh-CN"/>
              </w:rPr>
              <w:t>投标</w:t>
            </w:r>
            <w:r>
              <w:rPr>
                <w:rStyle w:val="12"/>
                <w:rFonts w:hint="eastAsia" w:asciiTheme="minorEastAsia" w:hAnsiTheme="minorEastAsia" w:eastAsiaTheme="minorEastAsia" w:cstheme="minorEastAsia"/>
                <w:b w:val="0"/>
                <w:bCs/>
                <w:kern w:val="0"/>
                <w:sz w:val="24"/>
                <w:szCs w:val="24"/>
              </w:rPr>
              <w:t>文件编制情况</w:t>
            </w:r>
            <w:r>
              <w:rPr>
                <w:rStyle w:val="12"/>
                <w:rFonts w:hint="eastAsia" w:asciiTheme="minorEastAsia" w:hAnsiTheme="minorEastAsia" w:eastAsiaTheme="minorEastAsia" w:cstheme="minorEastAsia"/>
                <w:b w:val="0"/>
                <w:bCs/>
                <w:kern w:val="0"/>
                <w:sz w:val="24"/>
                <w:szCs w:val="24"/>
                <w:lang w:eastAsia="zh-CN"/>
              </w:rPr>
              <w:t>。</w:t>
            </w:r>
            <w:r>
              <w:rPr>
                <w:rStyle w:val="12"/>
                <w:rFonts w:hint="eastAsia" w:asciiTheme="minorEastAsia" w:hAnsiTheme="minorEastAsia" w:eastAsiaTheme="minorEastAsia" w:cstheme="minorEastAsia"/>
                <w:b w:val="0"/>
                <w:bCs/>
                <w:sz w:val="24"/>
                <w:szCs w:val="24"/>
              </w:rPr>
              <w:t>文字清晰、装订整齐，</w:t>
            </w:r>
            <w:r>
              <w:rPr>
                <w:rStyle w:val="12"/>
                <w:rFonts w:hint="eastAsia" w:asciiTheme="minorEastAsia" w:hAnsiTheme="minorEastAsia" w:eastAsiaTheme="minorEastAsia" w:cstheme="minorEastAsia"/>
                <w:b w:val="0"/>
                <w:bCs/>
                <w:sz w:val="24"/>
                <w:szCs w:val="24"/>
                <w:lang w:val="en-US" w:eastAsia="zh-CN"/>
              </w:rPr>
              <w:t>索引准确</w:t>
            </w:r>
            <w:r>
              <w:rPr>
                <w:rStyle w:val="12"/>
                <w:rFonts w:hint="eastAsia" w:asciiTheme="minorEastAsia" w:hAnsiTheme="minorEastAsia" w:eastAsiaTheme="minorEastAsia" w:cstheme="minorEastAsia"/>
                <w:b w:val="0"/>
                <w:bCs/>
                <w:kern w:val="0"/>
                <w:sz w:val="24"/>
                <w:szCs w:val="24"/>
                <w:lang w:eastAsia="zh-CN"/>
              </w:rPr>
              <w:t>，</w:t>
            </w:r>
            <w:r>
              <w:rPr>
                <w:rStyle w:val="12"/>
                <w:rFonts w:hint="eastAsia" w:asciiTheme="minorEastAsia" w:hAnsiTheme="minorEastAsia" w:eastAsiaTheme="minorEastAsia" w:cstheme="minorEastAsia"/>
                <w:b w:val="0"/>
                <w:bCs/>
                <w:sz w:val="24"/>
                <w:szCs w:val="24"/>
              </w:rPr>
              <w:t>查找方便、无明显错误</w:t>
            </w:r>
            <w:r>
              <w:rPr>
                <w:rStyle w:val="12"/>
                <w:rFonts w:hint="eastAsia" w:asciiTheme="minorEastAsia" w:hAnsiTheme="minorEastAsia" w:eastAsiaTheme="minorEastAsia" w:cstheme="minorEastAsia"/>
                <w:b w:val="0"/>
                <w:bCs/>
                <w:sz w:val="24"/>
                <w:szCs w:val="24"/>
                <w:lang w:val="en-US" w:eastAsia="zh-CN"/>
              </w:rPr>
              <w:t>得1分；</w:t>
            </w:r>
            <w:r>
              <w:rPr>
                <w:rStyle w:val="12"/>
                <w:rFonts w:hint="eastAsia" w:asciiTheme="minorEastAsia" w:hAnsiTheme="minorEastAsia" w:eastAsiaTheme="minorEastAsia" w:cstheme="minorEastAsia"/>
                <w:b w:val="0"/>
                <w:bCs/>
                <w:sz w:val="24"/>
                <w:szCs w:val="24"/>
              </w:rPr>
              <w:t>文字</w:t>
            </w:r>
            <w:r>
              <w:rPr>
                <w:rStyle w:val="12"/>
                <w:rFonts w:hint="eastAsia" w:asciiTheme="minorEastAsia" w:hAnsiTheme="minorEastAsia" w:eastAsiaTheme="minorEastAsia" w:cstheme="minorEastAsia"/>
                <w:b w:val="0"/>
                <w:bCs/>
                <w:sz w:val="24"/>
                <w:szCs w:val="24"/>
                <w:lang w:val="en-US" w:eastAsia="zh-CN"/>
              </w:rPr>
              <w:t>模糊</w:t>
            </w:r>
            <w:r>
              <w:rPr>
                <w:rStyle w:val="12"/>
                <w:rFonts w:hint="eastAsia" w:asciiTheme="minorEastAsia" w:hAnsiTheme="minorEastAsia" w:eastAsiaTheme="minorEastAsia" w:cstheme="minorEastAsia"/>
                <w:b w:val="0"/>
                <w:bCs/>
                <w:sz w:val="24"/>
                <w:szCs w:val="24"/>
              </w:rPr>
              <w:t>、装订</w:t>
            </w:r>
            <w:r>
              <w:rPr>
                <w:rStyle w:val="12"/>
                <w:rFonts w:hint="eastAsia" w:asciiTheme="minorEastAsia" w:hAnsiTheme="minorEastAsia" w:eastAsiaTheme="minorEastAsia" w:cstheme="minorEastAsia"/>
                <w:b w:val="0"/>
                <w:bCs/>
                <w:sz w:val="24"/>
                <w:szCs w:val="24"/>
                <w:lang w:val="en-US" w:eastAsia="zh-CN"/>
              </w:rPr>
              <w:t>不</w:t>
            </w:r>
            <w:r>
              <w:rPr>
                <w:rStyle w:val="12"/>
                <w:rFonts w:hint="eastAsia" w:asciiTheme="minorEastAsia" w:hAnsiTheme="minorEastAsia" w:eastAsiaTheme="minorEastAsia" w:cstheme="minorEastAsia"/>
                <w:b w:val="0"/>
                <w:bCs/>
                <w:sz w:val="24"/>
                <w:szCs w:val="24"/>
              </w:rPr>
              <w:t>整齐，</w:t>
            </w:r>
            <w:r>
              <w:rPr>
                <w:rStyle w:val="12"/>
                <w:rFonts w:hint="eastAsia" w:asciiTheme="minorEastAsia" w:hAnsiTheme="minorEastAsia" w:eastAsiaTheme="minorEastAsia" w:cstheme="minorEastAsia"/>
                <w:b w:val="0"/>
                <w:bCs/>
                <w:kern w:val="0"/>
                <w:sz w:val="24"/>
                <w:szCs w:val="24"/>
                <w:lang w:val="en-US" w:eastAsia="zh-CN"/>
              </w:rPr>
              <w:t>索引凌乱</w:t>
            </w:r>
            <w:r>
              <w:rPr>
                <w:rStyle w:val="12"/>
                <w:rFonts w:hint="eastAsia" w:asciiTheme="minorEastAsia" w:hAnsiTheme="minorEastAsia" w:eastAsiaTheme="minorEastAsia" w:cstheme="minorEastAsia"/>
                <w:b w:val="0"/>
                <w:bCs/>
                <w:kern w:val="0"/>
                <w:sz w:val="24"/>
                <w:szCs w:val="24"/>
                <w:lang w:eastAsia="zh-CN"/>
              </w:rPr>
              <w:t>，</w:t>
            </w:r>
            <w:r>
              <w:rPr>
                <w:rStyle w:val="12"/>
                <w:rFonts w:hint="eastAsia" w:asciiTheme="minorEastAsia" w:hAnsiTheme="minorEastAsia" w:eastAsiaTheme="minorEastAsia" w:cstheme="minorEastAsia"/>
                <w:b w:val="0"/>
                <w:bCs/>
                <w:sz w:val="24"/>
                <w:szCs w:val="24"/>
              </w:rPr>
              <w:t>查找</w:t>
            </w:r>
            <w:r>
              <w:rPr>
                <w:rStyle w:val="12"/>
                <w:rFonts w:hint="eastAsia" w:asciiTheme="minorEastAsia" w:hAnsiTheme="minorEastAsia" w:eastAsiaTheme="minorEastAsia" w:cstheme="minorEastAsia"/>
                <w:b w:val="0"/>
                <w:bCs/>
                <w:sz w:val="24"/>
                <w:szCs w:val="24"/>
                <w:lang w:val="en-US" w:eastAsia="zh-CN"/>
              </w:rPr>
              <w:t>不</w:t>
            </w:r>
            <w:r>
              <w:rPr>
                <w:rStyle w:val="12"/>
                <w:rFonts w:hint="eastAsia" w:asciiTheme="minorEastAsia" w:hAnsiTheme="minorEastAsia" w:eastAsiaTheme="minorEastAsia" w:cstheme="minorEastAsia"/>
                <w:b w:val="0"/>
                <w:bCs/>
                <w:sz w:val="24"/>
                <w:szCs w:val="24"/>
              </w:rPr>
              <w:t>便、</w:t>
            </w:r>
            <w:r>
              <w:rPr>
                <w:rStyle w:val="12"/>
                <w:rFonts w:hint="eastAsia" w:asciiTheme="minorEastAsia" w:hAnsiTheme="minorEastAsia" w:eastAsiaTheme="minorEastAsia" w:cstheme="minorEastAsia"/>
                <w:b w:val="0"/>
                <w:bCs/>
                <w:sz w:val="24"/>
                <w:szCs w:val="24"/>
                <w:lang w:val="en-US" w:eastAsia="zh-CN"/>
              </w:rPr>
              <w:t>有</w:t>
            </w:r>
            <w:r>
              <w:rPr>
                <w:rStyle w:val="12"/>
                <w:rFonts w:hint="eastAsia" w:asciiTheme="minorEastAsia" w:hAnsiTheme="minorEastAsia" w:eastAsiaTheme="minorEastAsia" w:cstheme="minorEastAsia"/>
                <w:b w:val="0"/>
                <w:bCs/>
                <w:sz w:val="24"/>
                <w:szCs w:val="24"/>
              </w:rPr>
              <w:t>明显错误</w:t>
            </w:r>
            <w:r>
              <w:rPr>
                <w:rStyle w:val="12"/>
                <w:rFonts w:hint="eastAsia" w:asciiTheme="minorEastAsia" w:hAnsiTheme="minorEastAsia" w:eastAsiaTheme="minorEastAsia" w:cstheme="minorEastAsia"/>
                <w:b w:val="0"/>
                <w:bCs/>
                <w:sz w:val="24"/>
                <w:szCs w:val="24"/>
                <w:lang w:val="en-US" w:eastAsia="zh-CN"/>
              </w:rPr>
              <w:t>得0.5分。</w:t>
            </w: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宋体" w:hAnsi="宋体"/>
          <w:sz w:val="24"/>
          <w:szCs w:val="24"/>
        </w:rPr>
      </w:pPr>
      <w:r>
        <w:rPr>
          <w:rFonts w:hint="eastAsia" w:ascii="宋体" w:hAnsi="宋体"/>
          <w:sz w:val="24"/>
          <w:szCs w:val="24"/>
        </w:rPr>
        <w:t>评标委员会计算综合得分（评分计算过程中分值计算结果均保留两位小数，第三位四舍五入）作为投标人的最终得分。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评标委员会取综合得分最高者为第一中标候选人，次高者为第二中标候选人，以此类推。若综合评分相同，则取技术方案评分最高者靠前排序；若综合评分相同，技术方案评分也相同，当场按签到顺序抽签确定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注意事项：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1、一旦发现中标单位存在非法转包、转让、挂靠等行为的，将依法进行处理，给招标人造成损失的，依法承担赔偿责任。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sz w:val="24"/>
          <w:szCs w:val="24"/>
        </w:rPr>
      </w:pPr>
      <w:r>
        <w:rPr>
          <w:rFonts w:hint="eastAsia" w:ascii="宋体" w:hAnsi="宋体"/>
          <w:b/>
          <w:sz w:val="24"/>
          <w:szCs w:val="24"/>
        </w:rPr>
        <w:t>2、本工程招标公告中的评标办法与招标文件中的评标办法不一致时，以招标公告中的评标办法为准。</w:t>
      </w:r>
    </w:p>
    <w:p>
      <w:pPr>
        <w:widowControl/>
        <w:spacing w:line="300" w:lineRule="auto"/>
        <w:ind w:firstLine="472" w:firstLineChars="196"/>
        <w:jc w:val="left"/>
        <w:rPr>
          <w:rFonts w:hint="eastAsia" w:ascii="宋体" w:hAnsi="宋体"/>
          <w:b/>
          <w:bCs/>
          <w:kern w:val="0"/>
          <w:sz w:val="24"/>
          <w:lang w:bidi="en-US"/>
        </w:rPr>
      </w:pPr>
    </w:p>
    <w:p>
      <w:pPr>
        <w:widowControl/>
        <w:spacing w:line="300" w:lineRule="auto"/>
        <w:ind w:firstLine="472" w:firstLineChars="196"/>
        <w:jc w:val="left"/>
        <w:rPr>
          <w:rFonts w:hint="eastAsia" w:ascii="宋体" w:hAnsi="宋体"/>
          <w:b/>
          <w:bCs/>
          <w:kern w:val="0"/>
          <w:sz w:val="24"/>
          <w:lang w:bidi="en-US"/>
        </w:rPr>
      </w:pP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color w:val="000000"/>
          <w:sz w:val="44"/>
          <w:szCs w:val="44"/>
        </w:rPr>
      </w:pPr>
      <w:r>
        <w:rPr>
          <w:rFonts w:hint="eastAsia"/>
          <w:b/>
          <w:color w:val="000000"/>
          <w:sz w:val="44"/>
          <w:szCs w:val="44"/>
        </w:rPr>
        <w:t>投标保证金说明</w:t>
      </w:r>
    </w:p>
    <w:p>
      <w:pPr>
        <w:spacing w:line="360" w:lineRule="auto"/>
        <w:rPr>
          <w:rFonts w:ascii="宋体" w:hAnsi="宋体"/>
          <w:color w:val="000000"/>
          <w:sz w:val="24"/>
        </w:rPr>
      </w:pPr>
      <w:r>
        <w:rPr>
          <w:rFonts w:hint="eastAsia" w:ascii="宋体" w:hAnsi="宋体"/>
          <w:color w:val="000000"/>
          <w:sz w:val="24"/>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缴纳投标保证金处理。</w:t>
      </w:r>
    </w:p>
    <w:p>
      <w:pPr>
        <w:spacing w:line="360" w:lineRule="auto"/>
        <w:ind w:right="-57" w:rightChars="-27"/>
        <w:rPr>
          <w:rFonts w:ascii="宋体" w:hAnsi="宋体"/>
          <w:sz w:val="24"/>
        </w:rPr>
      </w:pPr>
      <w:r>
        <w:rPr>
          <w:rFonts w:hint="eastAsia" w:ascii="宋体" w:hAnsi="宋体"/>
          <w:sz w:val="24"/>
        </w:rPr>
        <w:t>2、投标保证金递交的要求如下：</w:t>
      </w:r>
    </w:p>
    <w:p>
      <w:pPr>
        <w:spacing w:line="360" w:lineRule="auto"/>
        <w:rPr>
          <w:rFonts w:ascii="宋体" w:hAnsi="宋体"/>
          <w:sz w:val="24"/>
        </w:rPr>
      </w:pPr>
      <w:r>
        <w:rPr>
          <w:rFonts w:hint="eastAsia" w:ascii="宋体" w:hAnsi="宋体"/>
          <w:sz w:val="24"/>
        </w:rPr>
        <w:t>（1）投标保证金专用账户：</w:t>
      </w:r>
    </w:p>
    <w:p>
      <w:pPr>
        <w:spacing w:line="360" w:lineRule="auto"/>
        <w:rPr>
          <w:rFonts w:hint="eastAsia" w:ascii="宋体" w:hAnsi="宋体"/>
          <w:sz w:val="24"/>
          <w:highlight w:val="none"/>
        </w:rPr>
      </w:pPr>
      <w:r>
        <w:rPr>
          <w:rFonts w:hint="eastAsia" w:ascii="宋体" w:hAnsi="宋体"/>
          <w:sz w:val="24"/>
          <w:highlight w:val="none"/>
        </w:rPr>
        <w:t>户名：常州润邦招标代理有限公司</w:t>
      </w:r>
    </w:p>
    <w:p>
      <w:pPr>
        <w:spacing w:line="360" w:lineRule="auto"/>
        <w:rPr>
          <w:rFonts w:hint="eastAsia" w:ascii="宋体" w:hAnsi="宋体"/>
          <w:sz w:val="24"/>
          <w:highlight w:val="none"/>
        </w:rPr>
      </w:pPr>
      <w:r>
        <w:rPr>
          <w:rFonts w:hint="eastAsia" w:ascii="宋体" w:hAnsi="宋体"/>
          <w:sz w:val="24"/>
          <w:highlight w:val="none"/>
        </w:rPr>
        <w:t>账号：01080012010000003610</w:t>
      </w:r>
    </w:p>
    <w:p>
      <w:pPr>
        <w:spacing w:line="360" w:lineRule="auto"/>
        <w:rPr>
          <w:rFonts w:hint="eastAsia" w:ascii="宋体" w:hAnsi="宋体"/>
          <w:sz w:val="24"/>
          <w:highlight w:val="none"/>
        </w:rPr>
      </w:pPr>
      <w:r>
        <w:rPr>
          <w:rFonts w:hint="eastAsia" w:ascii="宋体" w:hAnsi="宋体"/>
          <w:sz w:val="24"/>
          <w:highlight w:val="none"/>
        </w:rPr>
        <w:t>开户银行：江南农村商业银行龙虎塘支行</w:t>
      </w:r>
    </w:p>
    <w:p>
      <w:pPr>
        <w:spacing w:line="360" w:lineRule="auto"/>
        <w:rPr>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b/>
          <w:sz w:val="24"/>
          <w:highlight w:val="none"/>
          <w:u w:val="single"/>
          <w:lang w:val="en-US" w:eastAsia="zh-CN"/>
        </w:rPr>
        <w:t xml:space="preserve">  /  </w:t>
      </w:r>
      <w:r>
        <w:rPr>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（3）投标单位必须在投标截止时间前将投标保证金从企业基本账户缴入</w:t>
      </w:r>
      <w:r>
        <w:rPr>
          <w:rFonts w:hint="eastAsia" w:ascii="宋体" w:hAnsi="宋体"/>
          <w:sz w:val="24"/>
          <w:highlight w:val="none"/>
          <w:lang w:val="en-US" w:eastAsia="zh-CN"/>
        </w:rPr>
        <w:t>代理公司账户</w:t>
      </w:r>
      <w:r>
        <w:rPr>
          <w:rFonts w:hint="eastAsia" w:ascii="宋体" w:hAnsi="宋体"/>
          <w:sz w:val="24"/>
          <w:highlight w:val="none"/>
        </w:rPr>
        <w:t>且必须全额到账。</w:t>
      </w:r>
    </w:p>
    <w:p>
      <w:pPr>
        <w:spacing w:line="360" w:lineRule="auto"/>
        <w:ind w:left="359" w:right="-21" w:rightChars="-10" w:hanging="359" w:hangingChars="149"/>
        <w:rPr>
          <w:sz w:val="24"/>
          <w:highlight w:val="none"/>
        </w:rPr>
      </w:pPr>
      <w:r>
        <w:rPr>
          <w:b/>
          <w:kern w:val="0"/>
          <w:sz w:val="24"/>
          <w:highlight w:val="none"/>
        </w:rPr>
        <w:t>缴纳保证金注意事项：投标保证金到账截止时间为</w:t>
      </w:r>
      <w:r>
        <w:rPr>
          <w:rFonts w:hint="eastAsia"/>
          <w:b/>
          <w:kern w:val="0"/>
          <w:sz w:val="24"/>
          <w:highlight w:val="none"/>
          <w:u w:val="single"/>
          <w:lang w:val="en-US" w:eastAsia="zh-CN"/>
        </w:rPr>
        <w:t xml:space="preserve"> / </w:t>
      </w:r>
      <w:r>
        <w:rPr>
          <w:rFonts w:hint="eastAsia"/>
          <w:b/>
          <w:kern w:val="0"/>
          <w:sz w:val="24"/>
          <w:highlight w:val="none"/>
          <w:u w:val="none"/>
          <w:lang w:eastAsia="zh-CN"/>
        </w:rPr>
        <w:t>年</w:t>
      </w:r>
      <w:r>
        <w:rPr>
          <w:rFonts w:hint="eastAsia"/>
          <w:b/>
          <w:kern w:val="0"/>
          <w:sz w:val="24"/>
          <w:highlight w:val="none"/>
          <w:u w:val="single"/>
          <w:lang w:val="en-US" w:eastAsia="zh-CN"/>
        </w:rPr>
        <w:t xml:space="preserve"> /</w:t>
      </w:r>
      <w:r>
        <w:rPr>
          <w:rFonts w:hint="eastAsia"/>
          <w:b/>
          <w:kern w:val="0"/>
          <w:sz w:val="24"/>
          <w:highlight w:val="none"/>
          <w:u w:val="single"/>
        </w:rPr>
        <w:t xml:space="preserve"> </w:t>
      </w:r>
      <w:r>
        <w:rPr>
          <w:b/>
          <w:kern w:val="0"/>
          <w:sz w:val="24"/>
          <w:highlight w:val="none"/>
        </w:rPr>
        <w:t>月</w:t>
      </w:r>
      <w:r>
        <w:rPr>
          <w:rFonts w:hint="eastAsia"/>
          <w:b/>
          <w:kern w:val="0"/>
          <w:sz w:val="24"/>
          <w:highlight w:val="none"/>
          <w:u w:val="single"/>
          <w:lang w:val="en-US" w:eastAsia="zh-CN"/>
        </w:rPr>
        <w:t xml:space="preserve"> / </w:t>
      </w:r>
      <w:r>
        <w:rPr>
          <w:b/>
          <w:kern w:val="0"/>
          <w:sz w:val="24"/>
          <w:highlight w:val="none"/>
        </w:rPr>
        <w:t>日</w:t>
      </w:r>
      <w:r>
        <w:rPr>
          <w:rFonts w:hint="eastAsia"/>
          <w:b/>
          <w:kern w:val="0"/>
          <w:sz w:val="24"/>
          <w:highlight w:val="none"/>
          <w:u w:val="single"/>
          <w:lang w:val="en-US" w:eastAsia="zh-CN"/>
        </w:rPr>
        <w:t xml:space="preserve"> /</w:t>
      </w:r>
      <w:r>
        <w:rPr>
          <w:rFonts w:hint="eastAsia"/>
          <w:b/>
          <w:kern w:val="0"/>
          <w:sz w:val="24"/>
          <w:highlight w:val="none"/>
          <w:u w:val="single"/>
        </w:rPr>
        <w:t xml:space="preserve"> </w:t>
      </w:r>
      <w:r>
        <w:rPr>
          <w:rFonts w:ascii="宋体" w:hAnsi="宋体"/>
          <w:b/>
          <w:kern w:val="0"/>
          <w:sz w:val="24"/>
          <w:highlight w:val="none"/>
          <w:lang w:bidi="en-US"/>
        </w:rPr>
        <w:t>时</w:t>
      </w:r>
      <w:r>
        <w:rPr>
          <w:rFonts w:hint="eastAsia" w:ascii="宋体" w:hAnsi="宋体"/>
          <w:b/>
          <w:kern w:val="0"/>
          <w:sz w:val="24"/>
          <w:highlight w:val="none"/>
          <w:u w:val="single"/>
          <w:lang w:val="en-US" w:eastAsia="zh-CN" w:bidi="en-US"/>
        </w:rPr>
        <w:t xml:space="preserve"> / </w:t>
      </w:r>
      <w:r>
        <w:rPr>
          <w:rFonts w:hint="eastAsia" w:ascii="宋体" w:hAnsi="宋体"/>
          <w:b/>
          <w:kern w:val="0"/>
          <w:sz w:val="24"/>
          <w:highlight w:val="none"/>
          <w:lang w:bidi="en-US"/>
        </w:rPr>
        <w:t>分</w:t>
      </w:r>
      <w:r>
        <w:rPr>
          <w:b/>
          <w:kern w:val="0"/>
          <w:sz w:val="24"/>
          <w:highlight w:val="none"/>
        </w:rPr>
        <w:t>之前</w:t>
      </w:r>
      <w:r>
        <w:rPr>
          <w:b/>
          <w:sz w:val="24"/>
          <w:highlight w:val="none"/>
        </w:rPr>
        <w:t>。</w:t>
      </w:r>
    </w:p>
    <w:p>
      <w:pPr>
        <w:spacing w:line="360" w:lineRule="auto"/>
        <w:ind w:left="118" w:right="-21" w:rightChars="-10" w:hanging="117" w:hangingChars="49"/>
        <w:rPr>
          <w:rFonts w:ascii="宋体" w:hAnsi="宋体"/>
          <w:sz w:val="24"/>
        </w:rPr>
      </w:pPr>
      <w:r>
        <w:rPr>
          <w:rFonts w:hint="eastAsia" w:ascii="宋体" w:hAnsi="宋体"/>
          <w:sz w:val="24"/>
          <w:highlight w:val="none"/>
        </w:rPr>
        <w:t>3、</w:t>
      </w:r>
      <w:r>
        <w:rPr>
          <w:sz w:val="24"/>
          <w:highlight w:val="none"/>
        </w:rPr>
        <w:t>投标保证金的退还</w:t>
      </w:r>
      <w:r>
        <w:rPr>
          <w:sz w:val="24"/>
          <w:highlight w:val="none"/>
        </w:rPr>
        <w:t>：</w:t>
      </w:r>
      <w:r>
        <w:rPr>
          <w:rFonts w:hint="eastAsia"/>
          <w:sz w:val="24"/>
          <w:highlight w:val="none"/>
        </w:rPr>
        <w:t>中标人的投标保证金自</w:t>
      </w:r>
      <w:r>
        <w:rPr>
          <w:rFonts w:hint="eastAsia"/>
          <w:sz w:val="24"/>
          <w:highlight w:val="none"/>
          <w:lang w:val="en-US" w:eastAsia="zh-CN"/>
        </w:rPr>
        <w:t>合同签订之日起</w:t>
      </w:r>
      <w:r>
        <w:rPr>
          <w:rFonts w:hint="eastAsia"/>
          <w:sz w:val="24"/>
          <w:highlight w:val="none"/>
        </w:rPr>
        <w:t>五个工作日内退还；</w:t>
      </w:r>
      <w:r>
        <w:rPr>
          <w:color w:val="000000"/>
          <w:sz w:val="24"/>
          <w:highlight w:val="none"/>
        </w:rPr>
        <w:t>其余投标人的投标保证金，在中标</w:t>
      </w:r>
      <w:r>
        <w:rPr>
          <w:color w:val="000000"/>
          <w:sz w:val="24"/>
        </w:rPr>
        <w:t>公示无异议后五个工作日内退还。投标保证金退还至缴纳账户</w:t>
      </w:r>
      <w:r>
        <w:rPr>
          <w:rFonts w:hint="eastAsia" w:ascii="宋体" w:hAnsi="宋体"/>
          <w:sz w:val="24"/>
        </w:rPr>
        <w:t>。</w:t>
      </w:r>
    </w:p>
    <w:p>
      <w:pPr>
        <w:spacing w:line="360" w:lineRule="auto"/>
        <w:rPr>
          <w:b/>
          <w:sz w:val="24"/>
        </w:rPr>
      </w:pPr>
      <w:r>
        <w:rPr>
          <w:rFonts w:hint="eastAsia"/>
          <w:b/>
          <w:sz w:val="24"/>
        </w:rPr>
        <w:t>4、投标保证金缴纳咨询电话：许女士  0519-81881991</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snapToGrid w:val="0"/>
        <w:spacing w:before="120" w:after="120" w:line="360" w:lineRule="auto"/>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10"/>
        <w:numPr>
          <w:ilvl w:val="0"/>
          <w:numId w:val="1"/>
        </w:numPr>
        <w:spacing w:line="450" w:lineRule="exact"/>
        <w:rPr>
          <w:rFonts w:ascii="宋体" w:hAnsi="宋体"/>
          <w:sz w:val="24"/>
        </w:rPr>
      </w:pPr>
      <w:r>
        <w:rPr>
          <w:rFonts w:hint="eastAsia" w:ascii="宋体" w:hAnsi="宋体"/>
          <w:sz w:val="24"/>
        </w:rPr>
        <w:t>1、</w:t>
      </w:r>
      <w:r>
        <w:rPr>
          <w:rFonts w:hint="eastAsia" w:ascii="宋体" w:hAnsi="宋体" w:cs="宋体"/>
          <w:sz w:val="24"/>
          <w:u w:val="single"/>
        </w:rPr>
        <w:t>《常州市工程建设投标申请书》</w:t>
      </w:r>
      <w:r>
        <w:rPr>
          <w:rFonts w:hint="eastAsia" w:ascii="宋体" w:hAnsi="宋体" w:cs="宋体"/>
          <w:sz w:val="24"/>
        </w:rPr>
        <w:t>（格式详见附件四-1、四-2打印且加盖单位公章及法人签字或盖章）</w:t>
      </w:r>
    </w:p>
    <w:p>
      <w:pPr>
        <w:pStyle w:val="10"/>
        <w:numPr>
          <w:ilvl w:val="0"/>
          <w:numId w:val="1"/>
        </w:numPr>
        <w:spacing w:line="450" w:lineRule="exact"/>
        <w:rPr>
          <w:rFonts w:ascii="宋体" w:hAnsi="宋体"/>
          <w:sz w:val="24"/>
        </w:rPr>
      </w:pPr>
      <w:r>
        <w:rPr>
          <w:rFonts w:hint="eastAsia" w:ascii="宋体" w:hAnsi="宋体"/>
          <w:sz w:val="24"/>
        </w:rPr>
        <w:t>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10"/>
        <w:numPr>
          <w:ilvl w:val="0"/>
          <w:numId w:val="1"/>
        </w:numPr>
        <w:spacing w:line="450" w:lineRule="exact"/>
        <w:rPr>
          <w:rFonts w:ascii="宋体" w:hAnsi="宋体"/>
          <w:sz w:val="24"/>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u w:val="single"/>
        </w:rPr>
        <w:t>法定代表人身份证明文件、法人授权委托书、被委托人的第二代居民身份证原件</w:t>
      </w:r>
      <w:r>
        <w:rPr>
          <w:rFonts w:hint="eastAsia" w:ascii="宋体" w:hAnsi="宋体" w:cs="宋体"/>
          <w:color w:val="000000"/>
          <w:sz w:val="24"/>
        </w:rPr>
        <w:t>及复印件加盖投标单位公章。</w:t>
      </w:r>
      <w:r>
        <w:rPr>
          <w:rFonts w:hint="eastAsia" w:ascii="宋体" w:hAnsi="宋体" w:cs="宋体"/>
          <w:sz w:val="24"/>
        </w:rPr>
        <w:t>（格式详见附件四-3、四-4打印且加盖单位公章及法人签字或盖章）</w:t>
      </w:r>
    </w:p>
    <w:p>
      <w:pPr>
        <w:pStyle w:val="10"/>
        <w:numPr>
          <w:ilvl w:val="0"/>
          <w:numId w:val="1"/>
        </w:numPr>
        <w:spacing w:line="450" w:lineRule="exact"/>
        <w:rPr>
          <w:rFonts w:ascii="宋体" w:hAnsi="宋体" w:cs="宋体"/>
          <w:color w:val="000000"/>
          <w:sz w:val="24"/>
        </w:rPr>
      </w:pPr>
      <w:r>
        <w:rPr>
          <w:rFonts w:hint="eastAsia" w:ascii="宋体" w:hAnsi="宋体"/>
          <w:sz w:val="24"/>
          <w:lang w:val="en-US" w:eastAsia="zh-CN"/>
        </w:rPr>
        <w:t>4</w:t>
      </w:r>
      <w:r>
        <w:rPr>
          <w:rFonts w:hint="eastAsia" w:ascii="宋体" w:hAnsi="宋体"/>
          <w:sz w:val="24"/>
        </w:rPr>
        <w:t>、投标人法定代表人的项目负责人必须为本单位人员且在投标时提供</w:t>
      </w:r>
      <w:r>
        <w:rPr>
          <w:rFonts w:hint="eastAsia" w:ascii="宋体" w:hAnsi="宋体"/>
          <w:sz w:val="24"/>
          <w:lang w:eastAsia="zh-CN"/>
        </w:rPr>
        <w:t>2021年</w:t>
      </w:r>
      <w:r>
        <w:rPr>
          <w:rFonts w:hint="eastAsia" w:ascii="宋体" w:hAnsi="宋体"/>
          <w:sz w:val="24"/>
          <w:lang w:val="en-US" w:eastAsia="zh-CN"/>
        </w:rPr>
        <w:t>6</w:t>
      </w:r>
      <w:r>
        <w:rPr>
          <w:rFonts w:hint="eastAsia" w:ascii="宋体" w:hAnsi="宋体"/>
          <w:sz w:val="24"/>
        </w:rPr>
        <w:t>月至投标时间截止任意一个月投标人为其缴纳的养老保险缴费证明材料，并加盖社保机构章或社保机构参保缴费证明电子专用章，加盖社保机构参保缴费证明电子专用章的社保材料可视为原件（若投标人法</w:t>
      </w:r>
      <w:bookmarkStart w:id="0" w:name="_GoBack"/>
      <w:bookmarkEnd w:id="0"/>
      <w:r>
        <w:rPr>
          <w:rFonts w:hint="eastAsia" w:ascii="宋体" w:hAnsi="宋体"/>
          <w:sz w:val="24"/>
        </w:rPr>
        <w:t>定代表人的授权委托人、项目负责人为退休人员，提供该人员的退休证明及投标人与其签订的聘用合同）。</w:t>
      </w:r>
    </w:p>
    <w:p>
      <w:pPr>
        <w:widowControl/>
        <w:numPr>
          <w:ilvl w:val="0"/>
          <w:numId w:val="1"/>
        </w:numPr>
        <w:spacing w:line="360" w:lineRule="auto"/>
        <w:jc w:val="left"/>
        <w:rPr>
          <w:rFonts w:hint="eastAsia" w:ascii="Calibri" w:hAnsi="Calibri"/>
          <w:kern w:val="0"/>
          <w:sz w:val="24"/>
          <w:lang w:bidi="en-US"/>
        </w:rPr>
      </w:pPr>
      <w:r>
        <w:rPr>
          <w:rFonts w:hint="eastAsia" w:ascii="宋体" w:hAnsi="宋体" w:cs="宋体"/>
          <w:color w:val="000000"/>
          <w:kern w:val="0"/>
          <w:sz w:val="24"/>
          <w:lang w:val="en-US" w:eastAsia="zh-CN"/>
        </w:rPr>
        <w:t>5</w:t>
      </w:r>
      <w:r>
        <w:rPr>
          <w:rFonts w:hint="eastAsia" w:ascii="宋体" w:hAnsi="宋体" w:cs="宋体"/>
          <w:color w:val="000000"/>
          <w:kern w:val="0"/>
          <w:sz w:val="24"/>
        </w:rPr>
        <w:t>、</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keepNext/>
        <w:keepLines/>
        <w:numPr>
          <w:ilvl w:val="0"/>
          <w:numId w:val="1"/>
        </w:numPr>
        <w:snapToGrid w:val="0"/>
        <w:spacing w:before="120" w:after="240" w:line="360" w:lineRule="auto"/>
        <w:ind w:left="0" w:firstLine="0"/>
        <w:jc w:val="center"/>
        <w:outlineLvl w:val="2"/>
        <w:rPr>
          <w:b/>
          <w:bCs/>
          <w:sz w:val="44"/>
          <w:highlight w:val="none"/>
        </w:rPr>
      </w:pPr>
      <w:r>
        <w:rPr>
          <w:rFonts w:hint="eastAsia"/>
          <w:b/>
          <w:bCs/>
          <w:snapToGrid w:val="0"/>
          <w:sz w:val="48"/>
          <w:szCs w:val="48"/>
          <w:highlight w:val="none"/>
        </w:rPr>
        <w:t>常州市</w:t>
      </w:r>
      <w:r>
        <w:rPr>
          <w:b/>
          <w:bCs/>
          <w:snapToGrid w:val="0"/>
          <w:sz w:val="48"/>
          <w:szCs w:val="48"/>
          <w:highlight w:val="none"/>
        </w:rPr>
        <w:t>工程建设投标申请书</w:t>
      </w:r>
    </w:p>
    <w:p>
      <w:pPr>
        <w:spacing w:line="460" w:lineRule="exact"/>
        <w:rPr>
          <w:sz w:val="32"/>
          <w:highlight w:val="none"/>
        </w:rPr>
      </w:pPr>
      <w:r>
        <w:rPr>
          <w:sz w:val="32"/>
          <w:highlight w:val="none"/>
          <w:u w:val="single"/>
        </w:rPr>
        <w:t xml:space="preserve">                                  </w:t>
      </w:r>
      <w:r>
        <w:rPr>
          <w:sz w:val="32"/>
          <w:highlight w:val="none"/>
        </w:rPr>
        <w:t>：</w:t>
      </w:r>
    </w:p>
    <w:p>
      <w:pPr>
        <w:spacing w:line="460" w:lineRule="exact"/>
        <w:ind w:firstLine="645"/>
        <w:rPr>
          <w:sz w:val="28"/>
          <w:highlight w:val="none"/>
        </w:rPr>
      </w:pPr>
      <w:r>
        <w:rPr>
          <w:rFonts w:hint="eastAsia"/>
          <w:sz w:val="28"/>
          <w:highlight w:val="none"/>
        </w:rPr>
        <w:t xml:space="preserve">根据贵单位招标公告，我单位拟参与 </w:t>
      </w:r>
      <w:r>
        <w:rPr>
          <w:rFonts w:hint="eastAsia"/>
          <w:sz w:val="28"/>
          <w:highlight w:val="none"/>
          <w:u w:val="single"/>
        </w:rPr>
        <w:t xml:space="preserve">            （</w:t>
      </w:r>
      <w:r>
        <w:rPr>
          <w:rFonts w:hint="eastAsia"/>
          <w:sz w:val="28"/>
          <w:highlight w:val="none"/>
        </w:rPr>
        <w:t>项目）工程的投标。特此申请。</w:t>
      </w:r>
    </w:p>
    <w:p>
      <w:pPr>
        <w:spacing w:line="460" w:lineRule="exact"/>
        <w:ind w:firstLine="645"/>
        <w:rPr>
          <w:sz w:val="28"/>
          <w:highlight w:val="none"/>
        </w:rPr>
      </w:pPr>
      <w:r>
        <w:rPr>
          <w:sz w:val="28"/>
          <w:highlight w:val="none"/>
        </w:rPr>
        <w:t>我单位基本情况：</w:t>
      </w:r>
    </w:p>
    <w:p>
      <w:pPr>
        <w:spacing w:line="460" w:lineRule="exact"/>
        <w:ind w:firstLine="645"/>
        <w:rPr>
          <w:color w:val="auto"/>
          <w:sz w:val="28"/>
          <w:highlight w:val="none"/>
        </w:rPr>
      </w:pPr>
      <w:r>
        <w:rPr>
          <w:color w:val="auto"/>
          <w:sz w:val="28"/>
          <w:highlight w:val="none"/>
        </w:rPr>
        <w:t xml:space="preserve">    1、资质类别和等级：</w:t>
      </w:r>
    </w:p>
    <w:p>
      <w:pPr>
        <w:spacing w:line="460" w:lineRule="exact"/>
        <w:ind w:firstLine="645"/>
        <w:rPr>
          <w:rFonts w:hint="eastAsia" w:eastAsia="宋体"/>
          <w:sz w:val="28"/>
          <w:highlight w:val="none"/>
          <w:lang w:eastAsia="zh-CN"/>
        </w:rPr>
      </w:pPr>
      <w:r>
        <w:rPr>
          <w:rFonts w:hint="eastAsia"/>
          <w:sz w:val="28"/>
          <w:highlight w:val="none"/>
          <w:lang w:eastAsia="zh-CN"/>
        </w:rPr>
        <w:t>（</w:t>
      </w:r>
      <w:r>
        <w:rPr>
          <w:rFonts w:hint="eastAsia"/>
          <w:sz w:val="28"/>
          <w:highlight w:val="none"/>
          <w:lang w:val="en-US" w:eastAsia="zh-CN"/>
        </w:rPr>
        <w:t>后附资质证书复印件加盖公章</w:t>
      </w:r>
      <w:r>
        <w:rPr>
          <w:rFonts w:hint="eastAsia"/>
          <w:sz w:val="28"/>
          <w:highlight w:val="none"/>
          <w:lang w:eastAsia="zh-CN"/>
        </w:rPr>
        <w:t>）</w:t>
      </w:r>
    </w:p>
    <w:p>
      <w:pPr>
        <w:spacing w:line="460" w:lineRule="exact"/>
        <w:ind w:firstLine="645"/>
        <w:rPr>
          <w:sz w:val="28"/>
          <w:highlight w:val="none"/>
        </w:rPr>
      </w:pPr>
      <w:r>
        <w:rPr>
          <w:sz w:val="28"/>
          <w:highlight w:val="none"/>
        </w:rPr>
        <w:t xml:space="preserve">    2、企业业绩、信誉：</w:t>
      </w:r>
    </w:p>
    <w:p>
      <w:pPr>
        <w:spacing w:line="460" w:lineRule="exact"/>
        <w:ind w:firstLine="645"/>
        <w:rPr>
          <w:sz w:val="28"/>
          <w:highlight w:val="none"/>
        </w:rPr>
      </w:pPr>
    </w:p>
    <w:p>
      <w:pPr>
        <w:snapToGrid w:val="0"/>
        <w:spacing w:line="460" w:lineRule="exact"/>
        <w:ind w:firstLine="1260" w:firstLineChars="450"/>
        <w:rPr>
          <w:sz w:val="28"/>
          <w:szCs w:val="28"/>
          <w:highlight w:val="none"/>
        </w:rPr>
      </w:pPr>
      <w:r>
        <w:rPr>
          <w:sz w:val="28"/>
          <w:szCs w:val="28"/>
          <w:highlight w:val="none"/>
        </w:rPr>
        <w:t>3、其他说明：</w:t>
      </w:r>
    </w:p>
    <w:p>
      <w:pPr>
        <w:snapToGrid w:val="0"/>
        <w:spacing w:line="460" w:lineRule="exact"/>
        <w:ind w:firstLine="562" w:firstLineChars="200"/>
        <w:rPr>
          <w:sz w:val="28"/>
          <w:szCs w:val="28"/>
          <w:highlight w:val="none"/>
        </w:rPr>
      </w:pPr>
      <w:r>
        <w:rPr>
          <w:b/>
          <w:sz w:val="28"/>
          <w:szCs w:val="28"/>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420" w:firstLineChars="150"/>
        <w:rPr>
          <w:sz w:val="28"/>
          <w:szCs w:val="28"/>
          <w:highlight w:val="none"/>
        </w:rPr>
      </w:pPr>
      <w:r>
        <w:rPr>
          <w:sz w:val="28"/>
          <w:szCs w:val="28"/>
          <w:highlight w:val="none"/>
        </w:rPr>
        <w:t xml:space="preserve"> 地址：                   邮编：</w:t>
      </w:r>
    </w:p>
    <w:p>
      <w:pPr>
        <w:snapToGrid w:val="0"/>
        <w:spacing w:line="460" w:lineRule="exact"/>
        <w:ind w:firstLine="560" w:firstLineChars="200"/>
        <w:rPr>
          <w:sz w:val="28"/>
          <w:szCs w:val="28"/>
          <w:highlight w:val="none"/>
        </w:rPr>
      </w:pPr>
      <w:r>
        <w:rPr>
          <w:sz w:val="28"/>
          <w:szCs w:val="28"/>
          <w:highlight w:val="none"/>
        </w:rPr>
        <w:t xml:space="preserve">联系人：                 电话：         </w:t>
      </w:r>
    </w:p>
    <w:p>
      <w:pPr>
        <w:snapToGrid w:val="0"/>
        <w:spacing w:line="460" w:lineRule="exact"/>
        <w:ind w:firstLine="560" w:firstLineChars="200"/>
        <w:rPr>
          <w:rFonts w:hint="eastAsia"/>
          <w:sz w:val="28"/>
          <w:szCs w:val="28"/>
          <w:highlight w:val="none"/>
        </w:rPr>
      </w:pPr>
      <w:r>
        <w:rPr>
          <w:sz w:val="28"/>
          <w:szCs w:val="28"/>
          <w:highlight w:val="none"/>
        </w:rPr>
        <w:t>E-mail:</w:t>
      </w:r>
    </w:p>
    <w:p>
      <w:pPr>
        <w:snapToGrid w:val="0"/>
        <w:spacing w:line="460" w:lineRule="exact"/>
        <w:ind w:firstLine="562" w:firstLineChars="200"/>
        <w:rPr>
          <w:sz w:val="28"/>
          <w:szCs w:val="28"/>
          <w:highlight w:val="none"/>
        </w:rPr>
      </w:pPr>
      <w:r>
        <w:rPr>
          <w:rFonts w:hint="eastAsia"/>
          <w:b/>
          <w:sz w:val="28"/>
          <w:szCs w:val="28"/>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840" w:firstLineChars="300"/>
        <w:jc w:val="center"/>
        <w:rPr>
          <w:sz w:val="28"/>
          <w:szCs w:val="28"/>
          <w:highlight w:val="none"/>
        </w:rPr>
      </w:pPr>
      <w:r>
        <w:rPr>
          <w:sz w:val="28"/>
          <w:szCs w:val="28"/>
          <w:highlight w:val="none"/>
        </w:rPr>
        <w:t xml:space="preserve">         申请单位名称（公章）</w:t>
      </w:r>
    </w:p>
    <w:p>
      <w:pPr>
        <w:snapToGrid w:val="0"/>
        <w:ind w:firstLine="840" w:firstLineChars="300"/>
        <w:jc w:val="center"/>
        <w:rPr>
          <w:sz w:val="28"/>
          <w:szCs w:val="28"/>
          <w:highlight w:val="none"/>
        </w:rPr>
      </w:pPr>
    </w:p>
    <w:p>
      <w:pPr>
        <w:snapToGrid w:val="0"/>
        <w:ind w:firstLine="840" w:firstLineChars="300"/>
        <w:jc w:val="center"/>
        <w:rPr>
          <w:sz w:val="28"/>
          <w:szCs w:val="28"/>
          <w:highlight w:val="none"/>
        </w:rPr>
      </w:pPr>
      <w:r>
        <w:rPr>
          <w:sz w:val="28"/>
          <w:szCs w:val="28"/>
          <w:highlight w:val="none"/>
        </w:rPr>
        <w:t xml:space="preserve">                 企业法定代表人（签名或盖章）</w:t>
      </w:r>
    </w:p>
    <w:p>
      <w:pPr>
        <w:snapToGrid w:val="0"/>
        <w:ind w:firstLine="840" w:firstLineChars="300"/>
        <w:jc w:val="center"/>
        <w:rPr>
          <w:sz w:val="28"/>
          <w:szCs w:val="28"/>
          <w:highlight w:val="none"/>
        </w:rPr>
      </w:pPr>
    </w:p>
    <w:p>
      <w:pPr>
        <w:snapToGrid w:val="0"/>
        <w:spacing w:line="360" w:lineRule="auto"/>
        <w:rPr>
          <w:sz w:val="28"/>
          <w:szCs w:val="28"/>
          <w:highlight w:val="none"/>
        </w:rPr>
      </w:pPr>
      <w:r>
        <w:rPr>
          <w:spacing w:val="50"/>
          <w:sz w:val="28"/>
          <w:szCs w:val="28"/>
          <w:highlight w:val="none"/>
        </w:rPr>
        <w:t xml:space="preserve">                        </w:t>
      </w:r>
      <w:r>
        <w:rPr>
          <w:sz w:val="28"/>
          <w:szCs w:val="28"/>
          <w:highlight w:val="none"/>
        </w:rPr>
        <w:t>年    月    日</w:t>
      </w:r>
    </w:p>
    <w:p>
      <w:pPr>
        <w:snapToGrid w:val="0"/>
        <w:spacing w:line="360" w:lineRule="auto"/>
        <w:rPr>
          <w:b/>
          <w:kern w:val="0"/>
          <w:sz w:val="30"/>
          <w:szCs w:val="30"/>
          <w:highlight w:val="none"/>
          <w:lang w:bidi="en-US"/>
        </w:rPr>
      </w:pP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8"/>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eastAsia="宋体"/>
                <w:kern w:val="0"/>
                <w:sz w:val="23"/>
                <w:szCs w:val="23"/>
                <w:highlight w:val="none"/>
                <w:lang w:val="en-US" w:eastAsia="zh-CN"/>
              </w:rPr>
            </w:pPr>
            <w:r>
              <w:rPr>
                <w:rFonts w:hint="eastAsia"/>
                <w:kern w:val="0"/>
                <w:sz w:val="23"/>
                <w:szCs w:val="23"/>
                <w:highlight w:val="none"/>
                <w:lang w:val="en-US" w:eastAsia="zh-CN"/>
              </w:rPr>
              <w:t>项目负责人</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w:t>
      </w:r>
      <w:r>
        <w:rPr>
          <w:rFonts w:hint="eastAsia" w:ascii="宋体" w:hAnsi="宋体"/>
          <w:sz w:val="24"/>
        </w:rPr>
        <w:t>、我方不存在近3年内有行贿犯罪行为且被记录；法定代表人和项目负责人均不存在近5年内有行贿犯罪行为且被记录。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6</w:t>
      </w:r>
      <w:r>
        <w:rPr>
          <w:rFonts w:hint="eastAsia" w:ascii="宋体" w:hAnsi="宋体"/>
          <w:sz w:val="24"/>
        </w:rPr>
        <w:t>、我方如果涉及异议或投诉，将由本单位法定代表人在异议或投诉书中真实署名并实际参与招标人或有关行政监督部门的质询。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sectPr>
      <w:footerReference r:id="rId3" w:type="default"/>
      <w:pgSz w:w="11906" w:h="16838"/>
      <w:pgMar w:top="1440" w:right="1066"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F7E"/>
    <w:rsid w:val="03D905BB"/>
    <w:rsid w:val="045B6F7E"/>
    <w:rsid w:val="063F3BD2"/>
    <w:rsid w:val="0BB60E7E"/>
    <w:rsid w:val="1EB20E33"/>
    <w:rsid w:val="233A0D29"/>
    <w:rsid w:val="23E21DB9"/>
    <w:rsid w:val="259412F9"/>
    <w:rsid w:val="392857B4"/>
    <w:rsid w:val="3A9C2812"/>
    <w:rsid w:val="3D2739A3"/>
    <w:rsid w:val="49393802"/>
    <w:rsid w:val="4C7D0B43"/>
    <w:rsid w:val="514D7344"/>
    <w:rsid w:val="5577345B"/>
    <w:rsid w:val="5DAE74F0"/>
    <w:rsid w:val="60136F17"/>
    <w:rsid w:val="79CB0300"/>
    <w:rsid w:val="7D5F6469"/>
    <w:rsid w:val="7DE5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Body Text Indent"/>
    <w:basedOn w:val="1"/>
    <w:next w:val="5"/>
    <w:qFormat/>
    <w:uiPriority w:val="0"/>
    <w:pPr>
      <w:spacing w:line="480" w:lineRule="exact"/>
      <w:ind w:firstLine="210" w:firstLineChars="100"/>
    </w:pPr>
    <w:rPr>
      <w:rFonts w:ascii="宋体" w:hAnsi="宋体"/>
      <w:kern w:val="0"/>
      <w:sz w:val="20"/>
    </w:r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No Spacing"/>
    <w:basedOn w:val="1"/>
    <w:qFormat/>
    <w:uiPriority w:val="0"/>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2">
    <w:name w:val="NormalCharacter"/>
    <w:semiHidden/>
    <w:qFormat/>
    <w:uiPriority w:val="99"/>
  </w:style>
  <w:style w:type="character" w:customStyle="1" w:styleId="13">
    <w:name w:val="font31"/>
    <w:basedOn w:val="9"/>
    <w:qFormat/>
    <w:uiPriority w:val="0"/>
    <w:rPr>
      <w:rFonts w:hint="default" w:ascii="Times New Roman" w:hAnsi="Times New Roman" w:cs="Times New Roman"/>
      <w:color w:val="000000"/>
      <w:sz w:val="21"/>
      <w:szCs w:val="21"/>
      <w:u w:val="none"/>
    </w:rPr>
  </w:style>
  <w:style w:type="character" w:customStyle="1" w:styleId="14">
    <w:name w:val="font41"/>
    <w:basedOn w:val="9"/>
    <w:qFormat/>
    <w:uiPriority w:val="0"/>
    <w:rPr>
      <w:rFonts w:hint="eastAsia" w:ascii="宋体" w:hAnsi="宋体" w:eastAsia="宋体" w:cs="宋体"/>
      <w:color w:val="000000"/>
      <w:sz w:val="21"/>
      <w:szCs w:val="21"/>
      <w:u w:val="none"/>
    </w:rPr>
  </w:style>
  <w:style w:type="character" w:customStyle="1" w:styleId="15">
    <w:name w:val="font51"/>
    <w:basedOn w:val="9"/>
    <w:qFormat/>
    <w:uiPriority w:val="0"/>
    <w:rPr>
      <w:rFonts w:hint="eastAsia" w:ascii="宋体" w:hAnsi="宋体" w:eastAsia="宋体" w:cs="宋体"/>
      <w:b/>
      <w:color w:val="000000"/>
      <w:sz w:val="21"/>
      <w:szCs w:val="21"/>
      <w:u w:val="none"/>
    </w:rPr>
  </w:style>
  <w:style w:type="character" w:customStyle="1" w:styleId="16">
    <w:name w:val="font11"/>
    <w:basedOn w:val="9"/>
    <w:qFormat/>
    <w:uiPriority w:val="0"/>
    <w:rPr>
      <w:rFonts w:hint="eastAsia" w:ascii="宋体" w:hAnsi="宋体" w:eastAsia="宋体" w:cs="宋体"/>
      <w:b/>
      <w:color w:val="000000"/>
      <w:sz w:val="20"/>
      <w:szCs w:val="20"/>
      <w:u w:val="none"/>
    </w:rPr>
  </w:style>
  <w:style w:type="character" w:customStyle="1" w:styleId="17">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2021-04-19T04:52:00Z</dcterms:created>
  <dc:creator>润邦赵婷</dc:creator>
  <cp:lastModifiedBy>润邦赵婷</cp:lastModifiedBy>
  <cp:lastPrinted>2021-05-25T08:56:00Z</cp:lastPrinted>
  <dcterms:modified xsi:type="dcterms:W3CDTF">2022-02-25T00:56:09Z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