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附件1：评审标准</w:t>
      </w:r>
    </w:p>
    <w:tbl>
      <w:tblPr>
        <w:tblStyle w:val="3"/>
        <w:tblW w:w="49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7"/>
        <w:gridCol w:w="931"/>
        <w:gridCol w:w="6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blHeader/>
          <w:jc w:val="center"/>
        </w:trPr>
        <w:tc>
          <w:tcPr>
            <w:tcW w:w="715" w:type="pct"/>
            <w:vAlign w:val="center"/>
          </w:tcPr>
          <w:p>
            <w:pPr>
              <w:jc w:val="center"/>
              <w:rPr>
                <w:rFonts w:asciiTheme="minorEastAsia" w:hAnsiTheme="minorEastAsia" w:eastAsiaTheme="minorEastAsia" w:cstheme="minorEastAsia"/>
                <w:b/>
                <w:bCs/>
                <w:sz w:val="24"/>
                <w:highlight w:val="none"/>
                <w:lang w:eastAsia="en-US"/>
              </w:rPr>
            </w:pPr>
            <w:r>
              <w:rPr>
                <w:rFonts w:hint="eastAsia" w:asciiTheme="minorEastAsia" w:hAnsiTheme="minorEastAsia" w:eastAsiaTheme="minorEastAsia" w:cstheme="minorEastAsia"/>
                <w:b/>
                <w:bCs/>
                <w:sz w:val="24"/>
                <w:highlight w:val="none"/>
                <w:lang w:eastAsia="en-US"/>
              </w:rPr>
              <w:t>项目</w:t>
            </w:r>
          </w:p>
        </w:tc>
        <w:tc>
          <w:tcPr>
            <w:tcW w:w="556" w:type="pct"/>
            <w:vAlign w:val="center"/>
          </w:tcPr>
          <w:p>
            <w:pPr>
              <w:jc w:val="center"/>
              <w:rPr>
                <w:rFonts w:asciiTheme="minorEastAsia" w:hAnsiTheme="minorEastAsia" w:eastAsiaTheme="minorEastAsia" w:cstheme="minorEastAsia"/>
                <w:b/>
                <w:bCs/>
                <w:sz w:val="24"/>
                <w:highlight w:val="none"/>
                <w:lang w:eastAsia="en-US"/>
              </w:rPr>
            </w:pPr>
            <w:r>
              <w:rPr>
                <w:rFonts w:hint="eastAsia" w:asciiTheme="minorEastAsia" w:hAnsiTheme="minorEastAsia" w:eastAsiaTheme="minorEastAsia" w:cstheme="minorEastAsia"/>
                <w:b/>
                <w:bCs/>
                <w:sz w:val="24"/>
                <w:highlight w:val="none"/>
                <w:lang w:eastAsia="en-US"/>
              </w:rPr>
              <w:t>分值</w:t>
            </w:r>
          </w:p>
        </w:tc>
        <w:tc>
          <w:tcPr>
            <w:tcW w:w="3728" w:type="pct"/>
            <w:vAlign w:val="center"/>
          </w:tcPr>
          <w:p>
            <w:pPr>
              <w:jc w:val="center"/>
              <w:rPr>
                <w:rFonts w:asciiTheme="minorEastAsia" w:hAnsiTheme="minorEastAsia" w:eastAsiaTheme="minorEastAsia" w:cstheme="minorEastAsia"/>
                <w:b/>
                <w:bCs/>
                <w:sz w:val="24"/>
                <w:highlight w:val="none"/>
                <w:lang w:eastAsia="en-US"/>
              </w:rPr>
            </w:pPr>
            <w:r>
              <w:rPr>
                <w:rFonts w:hint="eastAsia" w:asciiTheme="minorEastAsia" w:hAnsiTheme="minorEastAsia" w:eastAsiaTheme="minorEastAsia" w:cstheme="minorEastAsia"/>
                <w:b/>
                <w:bCs/>
                <w:sz w:val="24"/>
                <w:highlight w:val="none"/>
                <w:lang w:eastAsia="en-US"/>
              </w:rPr>
              <w:t>评分内容及方法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15" w:type="pct"/>
            <w:vAlign w:val="center"/>
          </w:tcPr>
          <w:p>
            <w:pPr>
              <w:jc w:val="center"/>
              <w:rPr>
                <w:b/>
                <w:bCs/>
                <w:sz w:val="24"/>
                <w:highlight w:val="none"/>
                <w:lang w:eastAsia="en-US"/>
              </w:rPr>
            </w:pPr>
            <w:r>
              <w:rPr>
                <w:rFonts w:hint="eastAsia"/>
                <w:b/>
                <w:bCs/>
                <w:sz w:val="24"/>
                <w:highlight w:val="none"/>
                <w:lang w:eastAsia="en-US"/>
              </w:rPr>
              <w:t>价格</w:t>
            </w:r>
          </w:p>
        </w:tc>
        <w:tc>
          <w:tcPr>
            <w:tcW w:w="556" w:type="pct"/>
            <w:vAlign w:val="center"/>
          </w:tcPr>
          <w:p>
            <w:pPr>
              <w:widowControl/>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10</w:t>
            </w:r>
          </w:p>
        </w:tc>
        <w:tc>
          <w:tcPr>
            <w:tcW w:w="3728" w:type="pct"/>
            <w:vAlign w:val="center"/>
          </w:tcPr>
          <w:p>
            <w:pPr>
              <w:widowControl/>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满足采购文件要求且投标报价最低的投标报价为评标基准价，其价格分为10分，其他供应商的价格分统一按照下列公式计算：投标报价得分=（评标基准价/投标报价）×10×100%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5" w:type="pct"/>
            <w:vAlign w:val="center"/>
          </w:tcPr>
          <w:p>
            <w:pPr>
              <w:jc w:val="center"/>
              <w:rPr>
                <w:rFonts w:asciiTheme="minorEastAsia" w:hAnsiTheme="minorEastAsia" w:eastAsiaTheme="minorEastAsia" w:cstheme="minorEastAsia"/>
                <w:b/>
                <w:bCs/>
                <w:sz w:val="24"/>
                <w:highlight w:val="none"/>
                <w:lang w:eastAsia="en-US"/>
              </w:rPr>
            </w:pPr>
            <w:r>
              <w:rPr>
                <w:rFonts w:hint="eastAsia" w:asciiTheme="minorEastAsia" w:hAnsiTheme="minorEastAsia" w:eastAsiaTheme="minorEastAsia" w:cstheme="minorEastAsia"/>
                <w:b/>
                <w:bCs/>
                <w:sz w:val="24"/>
                <w:highlight w:val="none"/>
              </w:rPr>
              <w:t>业绩</w:t>
            </w:r>
          </w:p>
        </w:tc>
        <w:tc>
          <w:tcPr>
            <w:tcW w:w="556" w:type="pct"/>
            <w:vAlign w:val="center"/>
          </w:tcPr>
          <w:p>
            <w:pPr>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10</w:t>
            </w:r>
          </w:p>
        </w:tc>
        <w:tc>
          <w:tcPr>
            <w:tcW w:w="3728" w:type="pct"/>
            <w:vAlign w:val="center"/>
          </w:tcPr>
          <w:p>
            <w:pPr>
              <w:widowControl/>
              <w:tabs>
                <w:tab w:val="left" w:pos="1200"/>
              </w:tabs>
              <w:rPr>
                <w:rFonts w:asciiTheme="minorEastAsia" w:hAnsiTheme="minorEastAsia" w:eastAsiaTheme="minorEastAsia" w:cstheme="minorEastAsia"/>
                <w:b/>
                <w:bCs/>
                <w:kern w:val="0"/>
                <w:sz w:val="24"/>
                <w:highlight w:val="none"/>
              </w:rPr>
            </w:pPr>
            <w:r>
              <w:rPr>
                <w:rFonts w:hint="eastAsia" w:asciiTheme="minorEastAsia" w:hAnsiTheme="minorEastAsia" w:eastAsiaTheme="minorEastAsia" w:cstheme="minorEastAsia"/>
                <w:sz w:val="24"/>
                <w:highlight w:val="none"/>
              </w:rPr>
              <w:t>2019年1月1日以来，供应商承担过与本项目类似的加油站监督性抽测服务项目经验的，提供1份，得2分，最高得10分。日期以合同签订日期为准。</w:t>
            </w:r>
            <w:r>
              <w:rPr>
                <w:rFonts w:hint="eastAsia" w:asciiTheme="minorEastAsia" w:hAnsiTheme="minorEastAsia" w:eastAsiaTheme="minorEastAsia" w:cstheme="minorEastAsia"/>
                <w:b/>
                <w:bCs/>
                <w:sz w:val="24"/>
                <w:highlight w:val="none"/>
              </w:rPr>
              <w:t>响应文件中提供合同复印件并加盖公章。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15" w:type="pct"/>
            <w:vAlign w:val="center"/>
          </w:tcPr>
          <w:p>
            <w:pPr>
              <w:jc w:val="center"/>
              <w:rPr>
                <w:b/>
                <w:bCs/>
                <w:sz w:val="24"/>
                <w:highlight w:val="none"/>
              </w:rPr>
            </w:pPr>
            <w:r>
              <w:rPr>
                <w:rFonts w:hint="eastAsia"/>
                <w:b/>
                <w:bCs/>
                <w:sz w:val="24"/>
                <w:highlight w:val="none"/>
              </w:rPr>
              <w:t>人员配置</w:t>
            </w:r>
          </w:p>
        </w:tc>
        <w:tc>
          <w:tcPr>
            <w:tcW w:w="556" w:type="pct"/>
            <w:vAlign w:val="center"/>
          </w:tcPr>
          <w:p>
            <w:pPr>
              <w:widowControl/>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15</w:t>
            </w:r>
          </w:p>
        </w:tc>
        <w:tc>
          <w:tcPr>
            <w:tcW w:w="3728" w:type="pct"/>
            <w:vAlign w:val="center"/>
          </w:tcPr>
          <w:p>
            <w:pPr>
              <w:widowControl/>
              <w:numPr>
                <w:ilvl w:val="0"/>
                <w:numId w:val="1"/>
              </w:numPr>
              <w:jc w:val="left"/>
              <w:rPr>
                <w:rFonts w:asciiTheme="minorEastAsia" w:hAnsiTheme="minorEastAsia" w:eastAsiaTheme="minorEastAsia" w:cstheme="minorEastAsia"/>
                <w:sz w:val="24"/>
                <w:highlight w:val="none"/>
              </w:rPr>
            </w:pPr>
            <w:r>
              <w:rPr>
                <w:rFonts w:asciiTheme="minorEastAsia" w:hAnsiTheme="minorEastAsia" w:eastAsiaTheme="minorEastAsia" w:cstheme="minorEastAsia"/>
                <w:sz w:val="24"/>
                <w:highlight w:val="none"/>
              </w:rPr>
              <w:t>项目负责人具有</w:t>
            </w:r>
            <w:r>
              <w:rPr>
                <w:rFonts w:hint="eastAsia" w:asciiTheme="minorEastAsia" w:hAnsiTheme="minorEastAsia" w:eastAsiaTheme="minorEastAsia" w:cstheme="minorEastAsia"/>
                <w:sz w:val="24"/>
                <w:highlight w:val="none"/>
              </w:rPr>
              <w:t>10</w:t>
            </w:r>
            <w:r>
              <w:rPr>
                <w:rFonts w:asciiTheme="minorEastAsia" w:hAnsiTheme="minorEastAsia" w:eastAsiaTheme="minorEastAsia" w:cstheme="minorEastAsia"/>
                <w:sz w:val="24"/>
                <w:highlight w:val="none"/>
              </w:rPr>
              <w:t>年（含）以上检验工作经历</w:t>
            </w:r>
            <w:r>
              <w:rPr>
                <w:rFonts w:hint="eastAsia" w:asciiTheme="minorEastAsia" w:hAnsiTheme="minorEastAsia" w:eastAsiaTheme="minorEastAsia" w:cstheme="minorEastAsia"/>
                <w:sz w:val="24"/>
                <w:highlight w:val="none"/>
              </w:rPr>
              <w:t>的</w:t>
            </w:r>
            <w:r>
              <w:rPr>
                <w:rFonts w:asciiTheme="minorEastAsia" w:hAnsiTheme="minorEastAsia" w:eastAsiaTheme="minorEastAsia" w:cstheme="minorEastAsia"/>
                <w:sz w:val="24"/>
                <w:highlight w:val="none"/>
              </w:rPr>
              <w:t>，</w:t>
            </w:r>
            <w:r>
              <w:rPr>
                <w:rFonts w:hint="eastAsia" w:asciiTheme="minorEastAsia" w:hAnsiTheme="minorEastAsia" w:eastAsiaTheme="minorEastAsia" w:cstheme="minorEastAsia"/>
                <w:sz w:val="24"/>
                <w:highlight w:val="none"/>
              </w:rPr>
              <w:t>得</w:t>
            </w:r>
            <w:r>
              <w:rPr>
                <w:rFonts w:asciiTheme="minorEastAsia" w:hAnsiTheme="minorEastAsia" w:eastAsiaTheme="minorEastAsia" w:cstheme="minorEastAsia"/>
                <w:sz w:val="24"/>
                <w:highlight w:val="none"/>
              </w:rPr>
              <w:t>5分；具有</w:t>
            </w:r>
            <w:r>
              <w:rPr>
                <w:rFonts w:hint="eastAsia" w:asciiTheme="minorEastAsia" w:hAnsiTheme="minorEastAsia" w:eastAsiaTheme="minorEastAsia" w:cstheme="minorEastAsia"/>
                <w:sz w:val="24"/>
                <w:highlight w:val="none"/>
              </w:rPr>
              <w:t>5</w:t>
            </w:r>
            <w:r>
              <w:rPr>
                <w:rFonts w:asciiTheme="minorEastAsia" w:hAnsiTheme="minorEastAsia" w:eastAsiaTheme="minorEastAsia" w:cstheme="minorEastAsia"/>
                <w:sz w:val="24"/>
                <w:highlight w:val="none"/>
              </w:rPr>
              <w:t>年（含）以上、</w:t>
            </w:r>
            <w:r>
              <w:rPr>
                <w:rFonts w:hint="eastAsia" w:asciiTheme="minorEastAsia" w:hAnsiTheme="minorEastAsia" w:eastAsiaTheme="minorEastAsia" w:cstheme="minorEastAsia"/>
                <w:sz w:val="24"/>
                <w:highlight w:val="none"/>
              </w:rPr>
              <w:t>10</w:t>
            </w:r>
            <w:r>
              <w:rPr>
                <w:rFonts w:asciiTheme="minorEastAsia" w:hAnsiTheme="minorEastAsia" w:eastAsiaTheme="minorEastAsia" w:cstheme="minorEastAsia"/>
                <w:sz w:val="24"/>
                <w:highlight w:val="none"/>
              </w:rPr>
              <w:t>年以下检验工作经历</w:t>
            </w:r>
            <w:r>
              <w:rPr>
                <w:rFonts w:hint="eastAsia" w:asciiTheme="minorEastAsia" w:hAnsiTheme="minorEastAsia" w:eastAsiaTheme="minorEastAsia" w:cstheme="minorEastAsia"/>
                <w:sz w:val="24"/>
                <w:highlight w:val="none"/>
              </w:rPr>
              <w:t>的</w:t>
            </w:r>
            <w:r>
              <w:rPr>
                <w:rFonts w:asciiTheme="minorEastAsia" w:hAnsiTheme="minorEastAsia" w:eastAsiaTheme="minorEastAsia" w:cstheme="minorEastAsia"/>
                <w:sz w:val="24"/>
                <w:highlight w:val="none"/>
              </w:rPr>
              <w:t>，</w:t>
            </w:r>
            <w:r>
              <w:rPr>
                <w:rFonts w:hint="eastAsia" w:asciiTheme="minorEastAsia" w:hAnsiTheme="minorEastAsia" w:eastAsiaTheme="minorEastAsia" w:cstheme="minorEastAsia"/>
                <w:sz w:val="24"/>
                <w:highlight w:val="none"/>
              </w:rPr>
              <w:t>得</w:t>
            </w:r>
            <w:r>
              <w:rPr>
                <w:rFonts w:asciiTheme="minorEastAsia" w:hAnsiTheme="minorEastAsia" w:eastAsiaTheme="minorEastAsia" w:cstheme="minorEastAsia"/>
                <w:sz w:val="24"/>
                <w:highlight w:val="none"/>
              </w:rPr>
              <w:t>3分；具有</w:t>
            </w:r>
            <w:r>
              <w:rPr>
                <w:rFonts w:hint="eastAsia" w:asciiTheme="minorEastAsia" w:hAnsiTheme="minorEastAsia" w:eastAsiaTheme="minorEastAsia" w:cstheme="minorEastAsia"/>
                <w:sz w:val="24"/>
                <w:highlight w:val="none"/>
              </w:rPr>
              <w:t>5</w:t>
            </w:r>
            <w:r>
              <w:rPr>
                <w:rFonts w:asciiTheme="minorEastAsia" w:hAnsiTheme="minorEastAsia" w:eastAsiaTheme="minorEastAsia" w:cstheme="minorEastAsia"/>
                <w:sz w:val="24"/>
                <w:highlight w:val="none"/>
              </w:rPr>
              <w:t>年检验工作经历，</w:t>
            </w:r>
            <w:r>
              <w:rPr>
                <w:rFonts w:hint="eastAsia" w:asciiTheme="minorEastAsia" w:hAnsiTheme="minorEastAsia" w:eastAsiaTheme="minorEastAsia" w:cstheme="minorEastAsia"/>
                <w:sz w:val="24"/>
                <w:highlight w:val="none"/>
              </w:rPr>
              <w:t>得1</w:t>
            </w:r>
            <w:r>
              <w:rPr>
                <w:rFonts w:asciiTheme="minorEastAsia" w:hAnsiTheme="minorEastAsia" w:eastAsiaTheme="minorEastAsia" w:cstheme="minorEastAsia"/>
                <w:sz w:val="24"/>
                <w:highlight w:val="none"/>
              </w:rPr>
              <w:t>分；检验工作经历不足</w:t>
            </w:r>
            <w:r>
              <w:rPr>
                <w:rFonts w:hint="eastAsia" w:asciiTheme="minorEastAsia" w:hAnsiTheme="minorEastAsia" w:eastAsiaTheme="minorEastAsia" w:cstheme="minorEastAsia"/>
                <w:sz w:val="24"/>
                <w:highlight w:val="none"/>
              </w:rPr>
              <w:t>2</w:t>
            </w:r>
            <w:r>
              <w:rPr>
                <w:rFonts w:asciiTheme="minorEastAsia" w:hAnsiTheme="minorEastAsia" w:eastAsiaTheme="minorEastAsia" w:cstheme="minorEastAsia"/>
                <w:sz w:val="24"/>
                <w:highlight w:val="none"/>
              </w:rPr>
              <w:t>年的，不得分。</w:t>
            </w:r>
            <w:r>
              <w:rPr>
                <w:rFonts w:hint="eastAsia" w:asciiTheme="minorEastAsia" w:hAnsiTheme="minorEastAsia" w:eastAsiaTheme="minorEastAsia" w:cstheme="minorEastAsia"/>
                <w:b/>
                <w:bCs/>
                <w:sz w:val="24"/>
                <w:highlight w:val="none"/>
              </w:rPr>
              <w:t>响应文件中提供证明材料。</w:t>
            </w:r>
          </w:p>
          <w:p>
            <w:pPr>
              <w:widowControl/>
              <w:numPr>
                <w:ilvl w:val="0"/>
                <w:numId w:val="1"/>
              </w:numPr>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参加项目组人员（除项目负责人）中具有中级及以上职称检验人员或具有3年以上与项目相关检验工作经历的人员数量≥5人的，得5分；数量3（含）~5人之间的，得3分；&lt;3人的，得1分。</w:t>
            </w:r>
            <w:r>
              <w:rPr>
                <w:rFonts w:hint="eastAsia" w:asciiTheme="minorEastAsia" w:hAnsiTheme="minorEastAsia" w:eastAsiaTheme="minorEastAsia" w:cstheme="minorEastAsia"/>
                <w:b/>
                <w:bCs/>
                <w:sz w:val="24"/>
                <w:highlight w:val="none"/>
              </w:rPr>
              <w:t>响应文件中提供参加项目组人员职称证书复印件或相关工作经验证明材料，以及供应商为其缴纳的近三个月社保证明材料，否则不得分。</w:t>
            </w:r>
          </w:p>
          <w:p>
            <w:pPr>
              <w:widowControl/>
              <w:numPr>
                <w:ilvl w:val="0"/>
                <w:numId w:val="1"/>
              </w:numPr>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服务团队岗位配置合理，应包括项目负责人和检验相关人员（检测人员、报告审核人员、授权签字人等）。服务团队岗位配置齐全合理的，得5分，较齐全合理的，得3分，岗位欠缺严重的，得1分，未提供本项不得分。</w:t>
            </w:r>
            <w:r>
              <w:rPr>
                <w:rFonts w:hint="eastAsia" w:asciiTheme="minorEastAsia" w:hAnsiTheme="minorEastAsia" w:eastAsiaTheme="minorEastAsia" w:cstheme="minorEastAsia"/>
                <w:b/>
                <w:bCs/>
                <w:sz w:val="24"/>
                <w:highlight w:val="none"/>
              </w:rPr>
              <w:t>响应文件中提供参加本项目人员一览表，并提供供应商为上述人员缴纳近三个月社保证明材料，否则不得分。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15" w:type="pct"/>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b/>
                <w:bCs/>
                <w:sz w:val="24"/>
                <w:highlight w:val="none"/>
                <w:lang w:eastAsia="en-US"/>
              </w:rPr>
            </w:pPr>
            <w:r>
              <w:rPr>
                <w:rFonts w:hint="eastAsia" w:asciiTheme="minorEastAsia" w:hAnsiTheme="minorEastAsia" w:eastAsiaTheme="minorEastAsia" w:cstheme="minorEastAsia"/>
                <w:b/>
                <w:bCs/>
                <w:sz w:val="24"/>
                <w:highlight w:val="none"/>
                <w:lang w:eastAsia="en-US"/>
              </w:rPr>
              <w:t>检验能力</w:t>
            </w:r>
          </w:p>
        </w:tc>
        <w:tc>
          <w:tcPr>
            <w:tcW w:w="556" w:type="pct"/>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10</w:t>
            </w:r>
          </w:p>
        </w:tc>
        <w:tc>
          <w:tcPr>
            <w:tcW w:w="3728" w:type="pct"/>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rPr>
              <w:t>设备能力：</w:t>
            </w:r>
          </w:p>
          <w:p>
            <w:pPr>
              <w:keepNext w:val="0"/>
              <w:keepLines w:val="0"/>
              <w:pageBreakBefore w:val="0"/>
              <w:widowControl/>
              <w:kinsoku/>
              <w:wordWrap/>
              <w:overflowPunct/>
              <w:topLinePunct w:val="0"/>
              <w:autoSpaceDE/>
              <w:autoSpaceDN/>
              <w:bidi w:val="0"/>
              <w:adjustRightInd/>
              <w:snapToGrid/>
              <w:jc w:val="left"/>
              <w:textAlignment w:val="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供应商应当具有与检验项目及检验能力相适应的仪器设备，并通过检定（校准），保证运行良好。</w:t>
            </w:r>
            <w:r>
              <w:rPr>
                <w:rFonts w:hint="eastAsia" w:asciiTheme="minorEastAsia" w:hAnsiTheme="minorEastAsia" w:eastAsiaTheme="minorEastAsia" w:cstheme="minorEastAsia"/>
                <w:b/>
                <w:bCs/>
                <w:sz w:val="24"/>
                <w:highlight w:val="none"/>
              </w:rPr>
              <w:t>响应文件中提供有效的计量检定证书复印件的，得10分；仅提供有效的校准证书的，得5分。本项最高得10分。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15" w:type="pct"/>
            <w:vMerge w:val="continue"/>
            <w:vAlign w:val="center"/>
          </w:tcPr>
          <w:p>
            <w:pPr>
              <w:jc w:val="center"/>
              <w:rPr>
                <w:rFonts w:asciiTheme="minorEastAsia" w:hAnsiTheme="minorEastAsia" w:eastAsiaTheme="minorEastAsia" w:cstheme="minorEastAsia"/>
                <w:b/>
                <w:bCs/>
                <w:sz w:val="24"/>
                <w:highlight w:val="none"/>
                <w:lang w:eastAsia="en-US"/>
              </w:rPr>
            </w:pPr>
          </w:p>
        </w:tc>
        <w:tc>
          <w:tcPr>
            <w:tcW w:w="556" w:type="pct"/>
            <w:vAlign w:val="center"/>
          </w:tcPr>
          <w:p>
            <w:pPr>
              <w:widowControl/>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10</w:t>
            </w:r>
          </w:p>
        </w:tc>
        <w:tc>
          <w:tcPr>
            <w:tcW w:w="3728" w:type="pct"/>
            <w:vAlign w:val="center"/>
          </w:tcPr>
          <w:p>
            <w:pPr>
              <w:widowControl/>
              <w:jc w:val="left"/>
              <w:rPr>
                <w:rFonts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rPr>
              <w:t>设备配置：</w:t>
            </w:r>
          </w:p>
          <w:p>
            <w:pPr>
              <w:widowControl/>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供应商用于该项目的设备应在性能、量程、精度上满足检验项目需要。检测设备先进、成熟、稳定、可靠，得10分；检测设备较先进、较成熟、较稳定、较可靠，得7分；检测设备先进性、成熟性、稳定性、可靠性均一般的，得3分。</w:t>
            </w:r>
            <w:r>
              <w:rPr>
                <w:rFonts w:hint="eastAsia" w:asciiTheme="minorEastAsia" w:hAnsiTheme="minorEastAsia" w:eastAsiaTheme="minorEastAsia" w:cstheme="minorEastAsia"/>
                <w:b/>
                <w:bCs/>
                <w:sz w:val="24"/>
                <w:highlight w:val="none"/>
              </w:rPr>
              <w:t>响应文件中提供检测设备配置清单和设备说明书等证明材料；未提供证明材料，本项不得分。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15" w:type="pct"/>
            <w:vMerge w:val="restart"/>
            <w:vAlign w:val="center"/>
          </w:tcPr>
          <w:p>
            <w:pPr>
              <w:jc w:val="center"/>
              <w:rPr>
                <w:b/>
                <w:bCs/>
                <w:sz w:val="24"/>
                <w:highlight w:val="none"/>
              </w:rPr>
            </w:pPr>
            <w:r>
              <w:rPr>
                <w:rFonts w:hint="eastAsia"/>
                <w:b/>
                <w:bCs/>
                <w:sz w:val="24"/>
                <w:highlight w:val="none"/>
              </w:rPr>
              <w:t>服务方案</w:t>
            </w:r>
          </w:p>
        </w:tc>
        <w:tc>
          <w:tcPr>
            <w:tcW w:w="556" w:type="pct"/>
            <w:vMerge w:val="restart"/>
            <w:vAlign w:val="center"/>
          </w:tcPr>
          <w:p>
            <w:pPr>
              <w:widowControl/>
              <w:jc w:val="center"/>
              <w:rPr>
                <w:rFonts w:hint="default" w:asciiTheme="minorEastAsia" w:hAnsiTheme="minorEastAsia" w:eastAsia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25</w:t>
            </w:r>
            <w:bookmarkStart w:id="0" w:name="_GoBack"/>
            <w:bookmarkEnd w:id="0"/>
          </w:p>
        </w:tc>
        <w:tc>
          <w:tcPr>
            <w:tcW w:w="3728" w:type="pct"/>
            <w:vAlign w:val="center"/>
          </w:tcPr>
          <w:p>
            <w:pPr>
              <w:widowControl/>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检测方案：</w:t>
            </w:r>
          </w:p>
          <w:p>
            <w:pPr>
              <w:widowControl/>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方案中需要对本项目的任务部署、现场检测规范、检验工作时效、检验结果的处理措施内容进行合理安排和制定。方案科学、完整、合理、可行，得15分，方案较科学、较完整、较合理、较可行，得12分；方案科学性一般、完整性一般、合理性一般、可行性一般，得7分；方案不足的，得3分；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15" w:type="pct"/>
            <w:vMerge w:val="continue"/>
            <w:vAlign w:val="center"/>
          </w:tcPr>
          <w:p>
            <w:pPr>
              <w:jc w:val="center"/>
              <w:rPr>
                <w:b/>
                <w:bCs/>
                <w:sz w:val="24"/>
                <w:highlight w:val="none"/>
              </w:rPr>
            </w:pPr>
          </w:p>
        </w:tc>
        <w:tc>
          <w:tcPr>
            <w:tcW w:w="556" w:type="pct"/>
            <w:vMerge w:val="continue"/>
            <w:vAlign w:val="center"/>
          </w:tcPr>
          <w:p>
            <w:pPr>
              <w:widowControl/>
              <w:jc w:val="center"/>
              <w:rPr>
                <w:rFonts w:asciiTheme="minorEastAsia" w:hAnsiTheme="minorEastAsia" w:eastAsiaTheme="minorEastAsia" w:cstheme="minorEastAsia"/>
                <w:sz w:val="24"/>
                <w:highlight w:val="none"/>
              </w:rPr>
            </w:pPr>
          </w:p>
        </w:tc>
        <w:tc>
          <w:tcPr>
            <w:tcW w:w="3728" w:type="pct"/>
            <w:vAlign w:val="center"/>
          </w:tcPr>
          <w:p>
            <w:pPr>
              <w:widowControl/>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应急方案：</w:t>
            </w:r>
          </w:p>
          <w:p>
            <w:pPr>
              <w:widowControl/>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方案中需要对本项目的应急工作、保密工作的措施内容进行合理安排和制定。</w:t>
            </w:r>
            <w:r>
              <w:rPr>
                <w:rFonts w:asciiTheme="minorEastAsia" w:hAnsiTheme="minorEastAsia" w:eastAsiaTheme="minorEastAsia" w:cstheme="minorEastAsia"/>
                <w:sz w:val="24"/>
                <w:highlight w:val="none"/>
              </w:rPr>
              <w:t>重点说明如何快速调配所需人员、具体操作流程、长效措施等，说明所需人员岗位安排分配明细情况（包括人员数量配置，公司支持力度等）</w:t>
            </w:r>
            <w:r>
              <w:rPr>
                <w:rFonts w:hint="eastAsia" w:asciiTheme="minorEastAsia" w:hAnsiTheme="minorEastAsia" w:eastAsiaTheme="minorEastAsia" w:cstheme="minorEastAsia"/>
                <w:sz w:val="24"/>
                <w:highlight w:val="none"/>
              </w:rPr>
              <w:t>。方案科学、完整、合理、可行，得</w:t>
            </w:r>
            <w:r>
              <w:rPr>
                <w:rFonts w:hint="eastAsia" w:asciiTheme="minorEastAsia" w:hAnsiTheme="minorEastAsia" w:cstheme="minorEastAsia"/>
                <w:color w:val="FF0000"/>
                <w:sz w:val="24"/>
                <w:highlight w:val="none"/>
                <w:lang w:val="en-US" w:eastAsia="zh-CN"/>
              </w:rPr>
              <w:t>10</w:t>
            </w:r>
            <w:r>
              <w:rPr>
                <w:rFonts w:hint="eastAsia" w:asciiTheme="minorEastAsia" w:hAnsiTheme="minorEastAsia" w:eastAsiaTheme="minorEastAsia" w:cstheme="minorEastAsia"/>
                <w:sz w:val="24"/>
                <w:highlight w:val="none"/>
              </w:rPr>
              <w:t>分，方案较科学、较完整、较合理、较可行，得</w:t>
            </w:r>
            <w:r>
              <w:rPr>
                <w:rFonts w:hint="eastAsia" w:asciiTheme="minorEastAsia" w:hAnsiTheme="minorEastAsia" w:cstheme="minorEastAsia"/>
                <w:color w:val="FF0000"/>
                <w:sz w:val="24"/>
                <w:highlight w:val="none"/>
                <w:lang w:val="en-US" w:eastAsia="zh-CN"/>
              </w:rPr>
              <w:t>8</w:t>
            </w:r>
            <w:r>
              <w:rPr>
                <w:rFonts w:hint="eastAsia" w:asciiTheme="minorEastAsia" w:hAnsiTheme="minorEastAsia" w:eastAsiaTheme="minorEastAsia" w:cstheme="minorEastAsia"/>
                <w:sz w:val="24"/>
                <w:highlight w:val="none"/>
              </w:rPr>
              <w:t>分；方案科学性一般、完整性一般、合理性一般、可行性一般，得</w:t>
            </w:r>
            <w:r>
              <w:rPr>
                <w:rFonts w:hint="eastAsia" w:asciiTheme="minorEastAsia" w:hAnsiTheme="minorEastAsia" w:cstheme="minorEastAsia"/>
                <w:color w:val="FF0000"/>
                <w:sz w:val="24"/>
                <w:highlight w:val="none"/>
                <w:lang w:val="en-US" w:eastAsia="zh-CN"/>
              </w:rPr>
              <w:t>5</w:t>
            </w:r>
            <w:r>
              <w:rPr>
                <w:rFonts w:hint="eastAsia" w:asciiTheme="minorEastAsia" w:hAnsiTheme="minorEastAsia" w:eastAsiaTheme="minorEastAsia" w:cstheme="minorEastAsia"/>
                <w:sz w:val="24"/>
                <w:highlight w:val="none"/>
              </w:rPr>
              <w:t>分；方案不足的，得</w:t>
            </w:r>
            <w:r>
              <w:rPr>
                <w:rFonts w:hint="eastAsia" w:asciiTheme="minorEastAsia" w:hAnsiTheme="minorEastAsia" w:cstheme="minorEastAsia"/>
                <w:color w:val="FF0000"/>
                <w:sz w:val="24"/>
                <w:highlight w:val="none"/>
                <w:lang w:val="en-US" w:eastAsia="zh-CN"/>
              </w:rPr>
              <w:t>2</w:t>
            </w:r>
            <w:r>
              <w:rPr>
                <w:rFonts w:hint="eastAsia" w:asciiTheme="minorEastAsia" w:hAnsiTheme="minorEastAsia" w:eastAsiaTheme="minorEastAsia" w:cstheme="minorEastAsia"/>
                <w:sz w:val="24"/>
                <w:highlight w:val="none"/>
              </w:rPr>
              <w:t>分；提供本项不得分。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15" w:type="pct"/>
            <w:vMerge w:val="restart"/>
            <w:vAlign w:val="center"/>
          </w:tcPr>
          <w:p>
            <w:pPr>
              <w:jc w:val="center"/>
              <w:rPr>
                <w:rFonts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rPr>
              <w:t>服务能力</w:t>
            </w:r>
          </w:p>
        </w:tc>
        <w:tc>
          <w:tcPr>
            <w:tcW w:w="556" w:type="pct"/>
            <w:vAlign w:val="center"/>
          </w:tcPr>
          <w:p>
            <w:pPr>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10</w:t>
            </w:r>
          </w:p>
        </w:tc>
        <w:tc>
          <w:tcPr>
            <w:tcW w:w="3728" w:type="pct"/>
            <w:vAlign w:val="center"/>
          </w:tcPr>
          <w:p>
            <w:pPr>
              <w:widowControl/>
              <w:jc w:val="left"/>
              <w:rPr>
                <w:rFonts w:ascii="宋体" w:hAnsi="宋体" w:cs="宋体"/>
                <w:kern w:val="0"/>
                <w:sz w:val="24"/>
                <w:highlight w:val="none"/>
              </w:rPr>
            </w:pPr>
            <w:r>
              <w:rPr>
                <w:rFonts w:hint="eastAsia" w:ascii="宋体" w:hAnsi="宋体" w:cs="宋体"/>
                <w:kern w:val="0"/>
                <w:sz w:val="24"/>
                <w:highlight w:val="none"/>
              </w:rPr>
              <w:t>本地化服务：</w:t>
            </w:r>
          </w:p>
          <w:p>
            <w:pPr>
              <w:widowControl/>
              <w:jc w:val="left"/>
              <w:rPr>
                <w:rFonts w:ascii="宋体" w:hAnsi="宋体" w:cs="宋体"/>
                <w:kern w:val="0"/>
                <w:sz w:val="24"/>
                <w:highlight w:val="none"/>
              </w:rPr>
            </w:pPr>
            <w:r>
              <w:rPr>
                <w:rFonts w:hint="eastAsia" w:ascii="宋体" w:hAnsi="宋体" w:cs="宋体"/>
                <w:kern w:val="0"/>
                <w:sz w:val="24"/>
                <w:highlight w:val="none"/>
              </w:rPr>
              <w:t>供应商在本地有常驻的实验室或分公司或办事处等作为常驻服务和技术支持机构的，得10分；供应商在邻近城市有实验室或分公司或办事处的，得5分。</w:t>
            </w:r>
            <w:r>
              <w:rPr>
                <w:rFonts w:hint="eastAsia" w:ascii="宋体" w:hAnsi="宋体" w:cs="宋体"/>
                <w:b/>
                <w:bCs/>
                <w:kern w:val="0"/>
                <w:sz w:val="24"/>
                <w:highlight w:val="none"/>
              </w:rPr>
              <w:t>响应文件中提供房屋产权或租赁协议,房屋产权登记或租赁协议签订的日期至今需达半年以上。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15" w:type="pct"/>
            <w:vMerge w:val="continue"/>
            <w:vAlign w:val="center"/>
          </w:tcPr>
          <w:p>
            <w:pPr>
              <w:jc w:val="center"/>
              <w:rPr>
                <w:rFonts w:asciiTheme="minorEastAsia" w:hAnsiTheme="minorEastAsia" w:eastAsiaTheme="minorEastAsia" w:cstheme="minorEastAsia"/>
                <w:b/>
                <w:bCs/>
                <w:sz w:val="24"/>
                <w:highlight w:val="none"/>
                <w:lang w:eastAsia="en-US"/>
              </w:rPr>
            </w:pPr>
          </w:p>
        </w:tc>
        <w:tc>
          <w:tcPr>
            <w:tcW w:w="556" w:type="pct"/>
            <w:vAlign w:val="center"/>
          </w:tcPr>
          <w:p>
            <w:pPr>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10</w:t>
            </w:r>
          </w:p>
        </w:tc>
        <w:tc>
          <w:tcPr>
            <w:tcW w:w="3728" w:type="pct"/>
            <w:vAlign w:val="center"/>
          </w:tcPr>
          <w:p>
            <w:pPr>
              <w:widowControl/>
              <w:jc w:val="left"/>
              <w:rPr>
                <w:rFonts w:ascii="宋体" w:hAnsi="宋体" w:cs="宋体"/>
                <w:b/>
                <w:bCs/>
                <w:kern w:val="0"/>
                <w:sz w:val="24"/>
                <w:highlight w:val="none"/>
              </w:rPr>
            </w:pPr>
            <w:r>
              <w:rPr>
                <w:rFonts w:hint="eastAsia" w:ascii="宋体" w:hAnsi="宋体" w:cs="宋体"/>
                <w:b/>
                <w:bCs/>
                <w:kern w:val="0"/>
                <w:sz w:val="24"/>
                <w:highlight w:val="none"/>
              </w:rPr>
              <w:t>响应时间：</w:t>
            </w:r>
          </w:p>
          <w:p>
            <w:pPr>
              <w:widowControl/>
              <w:jc w:val="left"/>
              <w:rPr>
                <w:rFonts w:ascii="宋体" w:hAnsi="宋体" w:cs="宋体"/>
                <w:kern w:val="0"/>
                <w:sz w:val="24"/>
                <w:highlight w:val="none"/>
              </w:rPr>
            </w:pPr>
            <w:r>
              <w:rPr>
                <w:rFonts w:hint="eastAsia" w:ascii="宋体" w:hAnsi="宋体" w:cs="宋体"/>
                <w:kern w:val="0"/>
                <w:sz w:val="24"/>
                <w:highlight w:val="none"/>
              </w:rPr>
              <w:t>为随时响应各类专项执法行动，特别是夜间执法行动，为保障快速响应和应急检测，供应商接到通知后从实验室30分钟内能到达常州市生态环境监控中心的，得10分，60分钟内能到达的，得6分；90分钟内能到达的，得3分；120分钟内能到达的得1分。</w:t>
            </w:r>
            <w:r>
              <w:rPr>
                <w:rFonts w:hint="eastAsia" w:ascii="宋体" w:hAnsi="宋体" w:cs="宋体"/>
                <w:b/>
                <w:bCs/>
                <w:kern w:val="0"/>
                <w:sz w:val="24"/>
                <w:highlight w:val="none"/>
              </w:rPr>
              <w:t>响应文件中提供承诺书（格式自拟），并提供百度地图导航时间截图作为佐证，否则不得分。</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E19A38"/>
    <w:multiLevelType w:val="singleLevel"/>
    <w:tmpl w:val="D2E19A3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iM2UzZjNlNGYxNmM5NzNlNGE3N2E1YTZmYzI2YzYifQ=="/>
  </w:docVars>
  <w:rsids>
    <w:rsidRoot w:val="22212B99"/>
    <w:rsid w:val="22212B99"/>
    <w:rsid w:val="4A1F3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2022-06-24T02:38:00Z</dcterms:created>
  <dc:creator>润邦赵婷</dc:creator>
  <cp:lastModifiedBy>润邦赵婷</cp:lastModifiedBy>
  <dcterms:modified xsi:type="dcterms:W3CDTF">2022-06-24T05:12:43Z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CBF0A895C39449458EA9FE018F8E8545</vt:lpwstr>
  </property>
</Properties>
</file>