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附件：评标标准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93"/>
        <w:gridCol w:w="7430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评审因素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评分细则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color w:val="auto"/>
                <w:kern w:val="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供应商的报价得分统一采用低价优先法计算，即满足采购文件要求且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最终有效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投标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最低的磋商报价为磋商基准价，其价格分为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分。其他供应商的报价得分统一按照下列公式计算:磋商报价得分=（磋商基准价/磋商最终报价)×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%×100，计算结果四舍五入保留两位小数。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业绩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/>
              </w:rPr>
              <w:t>供应商自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2020年6月1日以来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/>
              </w:rPr>
              <w:t>承担过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道路施工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/>
              </w:rPr>
              <w:t>项目业绩，每有一个得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/>
              </w:rPr>
              <w:t>分，最高得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15</w:t>
            </w: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zh-CN"/>
              </w:rPr>
              <w:t>分。</w:t>
            </w: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响应文件中须</w:t>
            </w: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同时提供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合同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中标通知书复印件加盖供应商公章；</w:t>
            </w: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同一家采购方业绩最多计算一个有效业绩。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1.项目经理具备高级工程师职称的，得3分；项目经理具备中级工程师职称的，得2分，此项最高得3分。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2.项目组其它人员（项目经理除外），具备高级工程师职称的，每有一人得1.5分；具备中级工程师职称的，每有一人得1分；此项最高得3分，同一人不重复得分。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zh-CN"/>
              </w:rPr>
              <w:t>响应文件中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提供证书复印件及供应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商为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缴纳的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2023年3-5月的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社保证明，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均须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加盖供应商公章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未提供或者提供不全的不得分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1.质保期承诺：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质保期在满足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文件要求的基础上，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承诺延长质保的，每延长一年得1.5分，本项最高得3 分。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响应文件中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提供承诺函加盖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公章。（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  <w:bookmarkStart w:id="0" w:name="_GoBack"/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：质保期延长一旦承诺，原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付款方式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最后一批次工程款支付将调整为按照质保年限均分后逐年支付；无质保期延长承诺的，最后一批次工程款支付按合同条款正常执行）。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工期承诺：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承诺比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文件要求的工期提前的，每提前一天得 0.5 分，本项最高得 5分。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响应文件中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提供承诺函加盖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公章。（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备注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：工期一旦承诺，后期违约将按合同约定违约条款执行）。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CN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zh-CN"/>
              </w:rPr>
              <w:t>售后服务响应速度承诺：质保期内售后服务响应速度承诺优</w:t>
            </w:r>
            <w:bookmarkEnd w:id="0"/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于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采购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文件要求的，得2分，其余不得分。提供承诺函加盖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供应商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zh-CN"/>
              </w:rPr>
              <w:t>公章。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检测报告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供应商提供主材（施工内容中涉及到的材料均可）检测报告的，每提供1种材料检测报告得1分，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本项最高得4分。响应文件中提供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2023年1月1日以来材料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检测报告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复印件并加盖供应商公章，检测报告反应材料性能指标须满足采购要求。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保证措施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Style w:val="10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本项目特点及采购要求编制和提供本项目的进度、质量、安全保证措施。措施合理、全面、可行性强、针对性强的，得10分；措施比较合理、比较全面、可行性比较强、针对性比较强的，得8分；措施合理性、全面性、可行性、针对性一般的，得6分；措施合理性、全面性、可行性、针对性较差的，得4分；未提供本项不得分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合理化建议</w:t>
            </w:r>
          </w:p>
        </w:tc>
        <w:tc>
          <w:tcPr>
            <w:tcW w:w="3998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根据本工程的特点及采购要求，有针对性的提出关于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提高工程质量、提升工程整体效果、控制工程造价、缩短工期方面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的合理化建议，合理化建议须从工艺或工序安排角度出发，且针对本工程特点，每有一条合理建议得0.5分，本项最高得5分。无合理化建议的不得分，建议不合理或未针对本项目特点的不得分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响应文件中提供合理化建议方案和免费实施承诺（合理化建议一经采购人采纳，供应商承诺不额外增加费用，否则无效）。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WY2ODcyMDQzMWRjODdkM2EwZTg2Y2IyN2NlZTAifQ=="/>
  </w:docVars>
  <w:rsids>
    <w:rsidRoot w:val="00000000"/>
    <w:rsid w:val="16F612EF"/>
    <w:rsid w:val="265F01A1"/>
    <w:rsid w:val="422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1 + 宋体 居中 段前: 17 磅 段后: 16.5 磅"/>
    <w:basedOn w:val="3"/>
    <w:qFormat/>
    <w:uiPriority w:val="0"/>
    <w:pPr>
      <w:pageBreakBefore/>
      <w:tabs>
        <w:tab w:val="left" w:pos="840"/>
      </w:tabs>
      <w:snapToGrid w:val="0"/>
      <w:ind w:left="840" w:hanging="420"/>
    </w:pPr>
    <w:rPr>
      <w:rFonts w:ascii="华文中宋" w:hAnsi="华文中宋" w:eastAsia="华文中宋" w:cs="宋体"/>
      <w:sz w:val="2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eastAsia="仿宋" w:cs="Times New Roman"/>
      <w:szCs w:val="22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0">
    <w:name w:val="fontstyle01"/>
    <w:basedOn w:val="9"/>
    <w:qFormat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1177</Words>
  <Characters>1214</Characters>
  <Lines>0</Lines>
  <Paragraphs>0</Paragraphs>
  <TotalTime>0</TotalTime>
  <ScaleCrop>false</ScaleCrop>
  <LinksUpToDate>false</LinksUpToDate>
  <CharactersWithSpaces>1218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2023-07-03T03:36:00Z</dcterms:created>
  <dc:creator>ASUS</dc:creator>
  <cp:lastModifiedBy>润邦赵婷</cp:lastModifiedBy>
  <dcterms:modified xsi:type="dcterms:W3CDTF">2023-07-03T06:12:01Z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C2C8C967D3BC4786836AEA6FAC67FA5D_12</vt:lpwstr>
  </property>
</Properties>
</file>