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000000"/>
          <w:sz w:val="44"/>
          <w:szCs w:val="44"/>
          <w:highlight w:val="none"/>
        </w:rPr>
      </w:pPr>
      <w:bookmarkStart w:id="0" w:name="_Toc389065122"/>
      <w:bookmarkStart w:id="1" w:name="_Toc522797131"/>
      <w:r>
        <w:rPr>
          <w:rFonts w:hint="eastAsia" w:ascii="黑体" w:eastAsia="黑体"/>
          <w:color w:val="000000"/>
          <w:sz w:val="44"/>
          <w:szCs w:val="44"/>
          <w:highlight w:val="none"/>
        </w:rPr>
        <w:t>经开区工程建设项目招标公告</w:t>
      </w:r>
    </w:p>
    <w:bookmarkEnd w:id="0"/>
    <w:bookmarkEnd w:id="1"/>
    <w:p>
      <w:pPr>
        <w:spacing w:line="300" w:lineRule="exact"/>
        <w:ind w:right="-21" w:rightChars="-10"/>
        <w:jc w:val="center"/>
        <w:rPr>
          <w:rFonts w:hint="eastAsia" w:eastAsia="宋体"/>
          <w:sz w:val="10"/>
          <w:highlight w:val="none"/>
          <w:lang w:val="en-US" w:eastAsia="zh-CN"/>
        </w:rPr>
      </w:pPr>
      <w:r>
        <w:rPr>
          <w:b/>
          <w:bCs/>
          <w:kern w:val="0"/>
          <w:sz w:val="24"/>
          <w:highlight w:val="none"/>
        </w:rPr>
        <w:t>编号：</w:t>
      </w:r>
      <w:r>
        <w:rPr>
          <w:rFonts w:hint="eastAsia"/>
          <w:b/>
          <w:bCs/>
          <w:kern w:val="0"/>
          <w:sz w:val="24"/>
          <w:highlight w:val="none"/>
          <w:lang w:eastAsia="zh-CN"/>
        </w:rPr>
        <w:t>CRG-2023-029</w:t>
      </w:r>
      <w:r>
        <w:rPr>
          <w:rFonts w:hint="eastAsia"/>
          <w:b/>
          <w:bCs/>
          <w:kern w:val="0"/>
          <w:sz w:val="24"/>
          <w:highlight w:val="none"/>
          <w:lang w:val="en-US" w:eastAsia="zh-CN"/>
        </w:rPr>
        <w:t>6</w:t>
      </w:r>
      <w:r>
        <w:rPr>
          <w:rFonts w:hint="eastAsia"/>
          <w:b/>
          <w:bCs/>
          <w:kern w:val="0"/>
          <w:sz w:val="24"/>
          <w:highlight w:val="none"/>
          <w:lang w:eastAsia="zh-CN"/>
        </w:rPr>
        <w:t>号</w:t>
      </w:r>
    </w:p>
    <w:p>
      <w:pPr>
        <w:spacing w:line="300" w:lineRule="exact"/>
        <w:ind w:right="-21" w:rightChars="-10"/>
        <w:jc w:val="center"/>
        <w:rPr>
          <w:szCs w:val="21"/>
          <w:highlight w:val="none"/>
        </w:rPr>
      </w:pPr>
      <w:r>
        <w:rPr>
          <w:b/>
          <w:bCs/>
          <w:kern w:val="0"/>
          <w:sz w:val="24"/>
          <w:highlight w:val="none"/>
        </w:rPr>
        <w:t>日期：20</w:t>
      </w:r>
      <w:r>
        <w:rPr>
          <w:rFonts w:hint="eastAsia"/>
          <w:b/>
          <w:bCs/>
          <w:kern w:val="0"/>
          <w:sz w:val="24"/>
          <w:highlight w:val="none"/>
        </w:rPr>
        <w:t>23</w:t>
      </w:r>
      <w:r>
        <w:rPr>
          <w:b/>
          <w:bCs/>
          <w:kern w:val="0"/>
          <w:sz w:val="24"/>
          <w:highlight w:val="none"/>
        </w:rPr>
        <w:t>年</w:t>
      </w:r>
      <w:r>
        <w:rPr>
          <w:rFonts w:hint="eastAsia"/>
          <w:b/>
          <w:bCs/>
          <w:kern w:val="0"/>
          <w:sz w:val="24"/>
          <w:highlight w:val="none"/>
          <w:lang w:val="en-US" w:eastAsia="zh-CN"/>
        </w:rPr>
        <w:t>10</w:t>
      </w:r>
      <w:r>
        <w:rPr>
          <w:b/>
          <w:bCs/>
          <w:kern w:val="0"/>
          <w:sz w:val="24"/>
          <w:highlight w:val="none"/>
        </w:rPr>
        <w:t>月</w:t>
      </w:r>
      <w:r>
        <w:rPr>
          <w:rFonts w:hint="eastAsia"/>
          <w:b/>
          <w:bCs/>
          <w:kern w:val="0"/>
          <w:sz w:val="24"/>
          <w:highlight w:val="none"/>
          <w:lang w:val="en-US" w:eastAsia="zh-CN"/>
        </w:rPr>
        <w:t>30</w:t>
      </w:r>
      <w:r>
        <w:rPr>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both"/>
        <w:rPr>
          <w:rFonts w:ascii="宋体" w:hAnsi="宋体" w:cs="宋体"/>
          <w:kern w:val="0"/>
          <w:sz w:val="24"/>
          <w:highlight w:val="none"/>
        </w:rPr>
      </w:pPr>
      <w:r>
        <w:rPr>
          <w:rFonts w:hint="eastAsia" w:ascii="宋体" w:hAnsi="宋体" w:cs="宋体"/>
          <w:b/>
          <w:bCs/>
          <w:kern w:val="0"/>
          <w:sz w:val="24"/>
          <w:highlight w:val="none"/>
          <w:u w:val="single"/>
          <w:lang w:eastAsia="zh-CN"/>
        </w:rPr>
        <w:t>政新花苑商铺外墙防水维修项目</w:t>
      </w:r>
      <w:r>
        <w:rPr>
          <w:rFonts w:hint="eastAsia" w:ascii="宋体" w:hAnsi="宋体" w:cs="宋体"/>
          <w:kern w:val="0"/>
          <w:sz w:val="24"/>
          <w:highlight w:val="none"/>
        </w:rPr>
        <w:t>（项目名称），招标人为</w:t>
      </w:r>
      <w:r>
        <w:rPr>
          <w:rFonts w:hint="eastAsia" w:ascii="宋体" w:hAnsi="宋体"/>
          <w:b/>
          <w:bCs/>
          <w:color w:val="000000"/>
          <w:sz w:val="24"/>
          <w:highlight w:val="none"/>
          <w:u w:val="single"/>
        </w:rPr>
        <w:t>常州市武进区潞城街道办事处</w:t>
      </w:r>
      <w:r>
        <w:rPr>
          <w:rFonts w:hint="eastAsia" w:ascii="宋体" w:hAnsi="宋体" w:cs="宋体"/>
          <w:kern w:val="0"/>
          <w:sz w:val="24"/>
          <w:highlight w:val="none"/>
        </w:rPr>
        <w:t>，建设资金来自</w:t>
      </w:r>
      <w:r>
        <w:rPr>
          <w:rFonts w:hint="eastAsia"/>
          <w:b/>
          <w:bCs/>
          <w:kern w:val="0"/>
          <w:sz w:val="24"/>
          <w:szCs w:val="20"/>
          <w:highlight w:val="none"/>
          <w:u w:val="single"/>
        </w:rPr>
        <w:t>财政</w:t>
      </w:r>
      <w:r>
        <w:rPr>
          <w:rFonts w:hint="eastAsia" w:ascii="宋体" w:hAnsi="宋体" w:cs="宋体"/>
          <w:kern w:val="0"/>
          <w:sz w:val="24"/>
          <w:highlight w:val="none"/>
        </w:rPr>
        <w:t>（资金来源），项目出资比例为</w:t>
      </w:r>
      <w:r>
        <w:rPr>
          <w:rFonts w:hint="eastAsia" w:ascii="宋体" w:hAnsi="宋体" w:cs="Arial"/>
          <w:b/>
          <w:color w:val="000000"/>
          <w:kern w:val="0"/>
          <w:sz w:val="24"/>
          <w:highlight w:val="none"/>
          <w:u w:val="single"/>
        </w:rPr>
        <w:t>国有资金：100.00%,集体资金： 0.00%,私有资金：0.00%</w:t>
      </w:r>
      <w:r>
        <w:rPr>
          <w:rFonts w:hint="eastAsia" w:ascii="宋体" w:hAnsi="宋体" w:cs="宋体"/>
          <w:kern w:val="0"/>
          <w:sz w:val="24"/>
          <w:highlight w:val="none"/>
        </w:rPr>
        <w:t>。项目已具备招标条件，现对该项目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lang w:eastAsia="zh-CN"/>
        </w:rPr>
        <w:t>政新花苑商铺外墙防水维修项目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 xml:space="preserve">进行公开招标。 </w:t>
      </w:r>
    </w:p>
    <w:p>
      <w:pPr>
        <w:tabs>
          <w:tab w:val="left" w:pos="2025"/>
        </w:tabs>
        <w:spacing w:line="520" w:lineRule="exact"/>
        <w:rPr>
          <w:rFonts w:ascii="宋体" w:hAnsi="宋体" w:cs="Arial"/>
          <w:b/>
          <w:bCs/>
          <w:color w:val="000000"/>
          <w:kern w:val="0"/>
          <w:sz w:val="28"/>
          <w:szCs w:val="28"/>
          <w:highlight w:val="none"/>
        </w:rPr>
      </w:pPr>
      <w:bookmarkStart w:id="2" w:name="_Toc522797132"/>
      <w:bookmarkStart w:id="3" w:name="_Toc389065123"/>
      <w:r>
        <w:rPr>
          <w:rFonts w:hint="eastAsia" w:ascii="宋体" w:hAnsi="宋体" w:cs="Arial"/>
          <w:b/>
          <w:bCs/>
          <w:color w:val="000000"/>
          <w:kern w:val="0"/>
          <w:sz w:val="28"/>
          <w:szCs w:val="28"/>
          <w:highlight w:val="none"/>
        </w:rPr>
        <w:t>二、项目概况</w:t>
      </w:r>
      <w:bookmarkEnd w:id="2"/>
      <w:bookmarkEnd w:id="3"/>
    </w:p>
    <w:p>
      <w:pPr>
        <w:spacing w:line="520" w:lineRule="exact"/>
        <w:rPr>
          <w:rFonts w:ascii="宋体" w:hAnsi="宋体" w:cs="宋体"/>
          <w:kern w:val="0"/>
          <w:sz w:val="24"/>
          <w:highlight w:val="none"/>
          <w:u w:val="single"/>
        </w:rPr>
      </w:pPr>
      <w:r>
        <w:rPr>
          <w:rFonts w:hint="eastAsia" w:ascii="宋体" w:hAnsi="宋体" w:cs="宋体"/>
          <w:kern w:val="0"/>
          <w:sz w:val="24"/>
          <w:highlight w:val="none"/>
        </w:rPr>
        <w:t>（1）工程地点：</w:t>
      </w:r>
      <w:r>
        <w:rPr>
          <w:rFonts w:hint="eastAsia" w:ascii="宋体" w:hAnsi="宋体" w:cs="宋体"/>
          <w:kern w:val="0"/>
          <w:sz w:val="24"/>
          <w:highlight w:val="none"/>
          <w:u w:val="single"/>
        </w:rPr>
        <w:t>经开区潞城街道；</w:t>
      </w:r>
    </w:p>
    <w:p>
      <w:pPr>
        <w:spacing w:line="520" w:lineRule="exact"/>
        <w:rPr>
          <w:rFonts w:ascii="宋体" w:hAnsi="宋体" w:cs="宋体"/>
          <w:kern w:val="0"/>
          <w:sz w:val="24"/>
          <w:highlight w:val="none"/>
          <w:u w:val="single"/>
        </w:rPr>
      </w:pPr>
      <w:r>
        <w:rPr>
          <w:rFonts w:hint="eastAsia" w:ascii="宋体" w:hAnsi="宋体" w:cs="宋体"/>
          <w:kern w:val="0"/>
          <w:sz w:val="24"/>
          <w:highlight w:val="none"/>
        </w:rPr>
        <w:t>（2）工程规模：</w:t>
      </w:r>
      <w:r>
        <w:rPr>
          <w:rFonts w:hint="eastAsia" w:ascii="宋体" w:hAnsi="宋体" w:cs="宋体"/>
          <w:kern w:val="0"/>
          <w:sz w:val="24"/>
          <w:highlight w:val="none"/>
          <w:u w:val="single"/>
          <w:lang w:val="en-US" w:eastAsia="zh-CN"/>
        </w:rPr>
        <w:t>10万元</w:t>
      </w:r>
      <w:r>
        <w:rPr>
          <w:rFonts w:hint="eastAsia"/>
          <w:sz w:val="24"/>
          <w:szCs w:val="20"/>
          <w:highlight w:val="none"/>
          <w:u w:val="single"/>
        </w:rPr>
        <w:t>；</w:t>
      </w:r>
    </w:p>
    <w:p>
      <w:pPr>
        <w:spacing w:line="520" w:lineRule="exact"/>
        <w:rPr>
          <w:rFonts w:ascii="宋体" w:hAnsi="宋体" w:cs="宋体"/>
          <w:kern w:val="0"/>
          <w:sz w:val="24"/>
          <w:highlight w:val="none"/>
          <w:u w:val="single"/>
        </w:rPr>
      </w:pPr>
      <w:r>
        <w:rPr>
          <w:rFonts w:hint="eastAsia" w:ascii="宋体" w:hAnsi="宋体" w:cs="宋体"/>
          <w:kern w:val="0"/>
          <w:sz w:val="24"/>
          <w:highlight w:val="none"/>
        </w:rPr>
        <w:t>（3）质量等级要求：</w:t>
      </w:r>
      <w:r>
        <w:rPr>
          <w:rFonts w:hint="eastAsia" w:ascii="宋体" w:hAnsi="宋体" w:cs="宋体"/>
          <w:kern w:val="0"/>
          <w:sz w:val="24"/>
          <w:highlight w:val="none"/>
          <w:u w:val="single"/>
        </w:rPr>
        <w:t>合格</w:t>
      </w:r>
    </w:p>
    <w:p>
      <w:pPr>
        <w:spacing w:line="520" w:lineRule="exact"/>
        <w:rPr>
          <w:rFonts w:ascii="宋体" w:hAnsi="宋体" w:cs="宋体"/>
          <w:kern w:val="0"/>
          <w:sz w:val="24"/>
          <w:highlight w:val="none"/>
          <w:u w:val="single"/>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u w:val="single"/>
        </w:rPr>
        <w:t>日历天</w:t>
      </w:r>
    </w:p>
    <w:p>
      <w:pPr>
        <w:spacing w:line="520" w:lineRule="exact"/>
        <w:ind w:firstLine="480" w:firstLineChars="200"/>
        <w:rPr>
          <w:rFonts w:hint="default" w:ascii="宋体" w:hAnsi="宋体" w:cs="宋体"/>
          <w:kern w:val="0"/>
          <w:sz w:val="24"/>
          <w:highlight w:val="none"/>
          <w:u w:val="single"/>
          <w:lang w:val="en-US"/>
        </w:rPr>
      </w:pPr>
      <w:r>
        <w:rPr>
          <w:rFonts w:hint="eastAsia" w:ascii="宋体" w:hAnsi="宋体" w:cs="宋体"/>
          <w:kern w:val="0"/>
          <w:sz w:val="24"/>
          <w:highlight w:val="none"/>
        </w:rPr>
        <w:t>计划开竣工时间：</w:t>
      </w:r>
      <w:r>
        <w:rPr>
          <w:rFonts w:hint="eastAsia" w:ascii="宋体" w:hAnsi="宋体" w:cs="宋体"/>
          <w:kern w:val="0"/>
          <w:sz w:val="24"/>
          <w:highlight w:val="none"/>
          <w:u w:val="none"/>
          <w:lang w:val="en-US" w:eastAsia="zh-CN"/>
        </w:rPr>
        <w:t>2023年</w:t>
      </w:r>
      <w:r>
        <w:rPr>
          <w:rFonts w:hint="eastAsia" w:ascii="宋体" w:hAnsi="宋体" w:cs="宋体"/>
          <w:kern w:val="0"/>
          <w:sz w:val="24"/>
          <w:highlight w:val="none"/>
          <w:u w:val="single"/>
          <w:lang w:val="en-US" w:eastAsia="zh-CN"/>
        </w:rPr>
        <w:t xml:space="preserve"> 11 </w:t>
      </w:r>
      <w:r>
        <w:rPr>
          <w:rFonts w:hint="eastAsia" w:ascii="宋体" w:hAnsi="宋体" w:cs="宋体"/>
          <w:kern w:val="0"/>
          <w:sz w:val="24"/>
          <w:highlight w:val="none"/>
          <w:u w:val="none"/>
          <w:lang w:val="en-US" w:eastAsia="zh-CN"/>
        </w:rPr>
        <w:t>月</w:t>
      </w:r>
      <w:r>
        <w:rPr>
          <w:rFonts w:hint="eastAsia" w:ascii="宋体" w:hAnsi="宋体" w:cs="宋体"/>
          <w:kern w:val="0"/>
          <w:sz w:val="24"/>
          <w:highlight w:val="none"/>
          <w:u w:val="single"/>
          <w:lang w:val="en-US" w:eastAsia="zh-CN"/>
        </w:rPr>
        <w:t xml:space="preserve"> 8 </w:t>
      </w:r>
      <w:r>
        <w:rPr>
          <w:rFonts w:hint="eastAsia" w:ascii="宋体" w:hAnsi="宋体" w:cs="宋体"/>
          <w:kern w:val="0"/>
          <w:sz w:val="24"/>
          <w:highlight w:val="none"/>
          <w:u w:val="none"/>
          <w:lang w:val="en-US" w:eastAsia="zh-CN"/>
        </w:rPr>
        <w:t>日至2023年</w:t>
      </w:r>
      <w:r>
        <w:rPr>
          <w:rFonts w:hint="eastAsia" w:ascii="宋体" w:hAnsi="宋体" w:cs="宋体"/>
          <w:kern w:val="0"/>
          <w:sz w:val="24"/>
          <w:highlight w:val="none"/>
          <w:u w:val="single"/>
          <w:lang w:val="en-US" w:eastAsia="zh-CN"/>
        </w:rPr>
        <w:t xml:space="preserve"> 12 </w:t>
      </w:r>
      <w:r>
        <w:rPr>
          <w:rFonts w:hint="eastAsia" w:ascii="宋体" w:hAnsi="宋体" w:cs="宋体"/>
          <w:kern w:val="0"/>
          <w:sz w:val="24"/>
          <w:highlight w:val="none"/>
          <w:u w:val="none"/>
          <w:lang w:val="en-US" w:eastAsia="zh-CN"/>
        </w:rPr>
        <w:t>月</w:t>
      </w:r>
      <w:r>
        <w:rPr>
          <w:rFonts w:hint="eastAsia" w:ascii="宋体" w:hAnsi="宋体" w:cs="宋体"/>
          <w:kern w:val="0"/>
          <w:sz w:val="24"/>
          <w:highlight w:val="none"/>
          <w:u w:val="single"/>
          <w:lang w:val="en-US" w:eastAsia="zh-CN"/>
        </w:rPr>
        <w:t xml:space="preserve"> 7  </w:t>
      </w:r>
      <w:r>
        <w:rPr>
          <w:rFonts w:hint="eastAsia" w:ascii="宋体" w:hAnsi="宋体" w:cs="宋体"/>
          <w:kern w:val="0"/>
          <w:sz w:val="24"/>
          <w:highlight w:val="none"/>
          <w:u w:val="none"/>
          <w:lang w:val="en-US" w:eastAsia="zh-CN"/>
        </w:rPr>
        <w:t>日</w:t>
      </w:r>
    </w:p>
    <w:p>
      <w:pPr>
        <w:spacing w:line="520" w:lineRule="exact"/>
        <w:rPr>
          <w:rFonts w:ascii="宋体" w:hAnsi="宋体" w:cs="宋体"/>
          <w:kern w:val="0"/>
          <w:sz w:val="24"/>
          <w:highlight w:val="none"/>
        </w:rPr>
      </w:pPr>
      <w:r>
        <w:rPr>
          <w:rFonts w:hint="eastAsia" w:ascii="宋体" w:hAnsi="宋体" w:cs="宋体"/>
          <w:kern w:val="0"/>
          <w:sz w:val="24"/>
          <w:highlight w:val="none"/>
        </w:rPr>
        <w:t>（5）本次招标范围：</w:t>
      </w:r>
      <w:r>
        <w:rPr>
          <w:sz w:val="24"/>
          <w:szCs w:val="20"/>
          <w:highlight w:val="none"/>
          <w:u w:val="single"/>
        </w:rPr>
        <w:t>本项目</w:t>
      </w:r>
      <w:r>
        <w:rPr>
          <w:rFonts w:hint="eastAsia" w:ascii="宋体" w:hAnsi="宋体" w:cs="宋体"/>
          <w:kern w:val="0"/>
          <w:sz w:val="24"/>
          <w:highlight w:val="none"/>
          <w:u w:val="single"/>
        </w:rPr>
        <w:t>图纸及工程量清单（含编制说明）范围内的全部工程</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9"/>
        <w:gridCol w:w="1902"/>
        <w:gridCol w:w="1062"/>
        <w:gridCol w:w="1385"/>
        <w:gridCol w:w="249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799" w:type="dxa"/>
            <w:vAlign w:val="center"/>
          </w:tcPr>
          <w:p>
            <w:pPr>
              <w:widowControl/>
              <w:snapToGrid w:val="0"/>
              <w:rPr>
                <w:rFonts w:ascii="宋体" w:hAnsi="宋体" w:cs="Arial"/>
                <w:color w:val="000000"/>
                <w:kern w:val="0"/>
                <w:sz w:val="24"/>
                <w:highlight w:val="none"/>
              </w:rPr>
            </w:pPr>
            <w:r>
              <w:rPr>
                <w:rFonts w:hint="eastAsia" w:ascii="宋体" w:hAnsi="宋体" w:cs="Arial"/>
                <w:color w:val="000000"/>
                <w:kern w:val="0"/>
                <w:sz w:val="24"/>
                <w:highlight w:val="none"/>
              </w:rPr>
              <w:t>序号</w:t>
            </w:r>
          </w:p>
        </w:tc>
        <w:tc>
          <w:tcPr>
            <w:tcW w:w="1902" w:type="dxa"/>
            <w:vAlign w:val="center"/>
          </w:tcPr>
          <w:p>
            <w:pPr>
              <w:widowControl/>
              <w:snapToGrid w:val="0"/>
              <w:jc w:val="center"/>
              <w:rPr>
                <w:rFonts w:ascii="宋体" w:hAnsi="宋体" w:cs="Arial"/>
                <w:color w:val="000000"/>
                <w:kern w:val="0"/>
                <w:sz w:val="24"/>
                <w:highlight w:val="none"/>
              </w:rPr>
            </w:pPr>
            <w:r>
              <w:rPr>
                <w:rFonts w:hint="eastAsia" w:ascii="宋体" w:hAnsi="宋体"/>
                <w:color w:val="000000"/>
                <w:sz w:val="24"/>
                <w:highlight w:val="none"/>
              </w:rPr>
              <w:t>标段内容</w:t>
            </w:r>
          </w:p>
        </w:tc>
        <w:tc>
          <w:tcPr>
            <w:tcW w:w="1062" w:type="dxa"/>
            <w:vAlign w:val="center"/>
          </w:tcPr>
          <w:p>
            <w:pPr>
              <w:snapToGrid w:val="0"/>
              <w:jc w:val="center"/>
              <w:rPr>
                <w:rFonts w:ascii="宋体" w:hAnsi="宋体" w:cs="Arial"/>
                <w:color w:val="000000"/>
                <w:kern w:val="0"/>
                <w:sz w:val="24"/>
                <w:highlight w:val="none"/>
              </w:rPr>
            </w:pPr>
            <w:r>
              <w:rPr>
                <w:rFonts w:hint="eastAsia" w:ascii="宋体" w:hAnsi="宋体" w:cs="Arial"/>
                <w:color w:val="000000"/>
                <w:kern w:val="0"/>
                <w:sz w:val="24"/>
                <w:highlight w:val="none"/>
              </w:rPr>
              <w:t>规模面积（平方米）</w:t>
            </w:r>
          </w:p>
        </w:tc>
        <w:tc>
          <w:tcPr>
            <w:tcW w:w="1385" w:type="dxa"/>
            <w:tcMar>
              <w:top w:w="30" w:type="dxa"/>
              <w:left w:w="30" w:type="dxa"/>
              <w:bottom w:w="30" w:type="dxa"/>
              <w:right w:w="30" w:type="dxa"/>
            </w:tcMar>
            <w:vAlign w:val="center"/>
          </w:tcPr>
          <w:p>
            <w:pPr>
              <w:widowControl/>
              <w:snapToGrid w:val="0"/>
              <w:jc w:val="center"/>
              <w:rPr>
                <w:rFonts w:ascii="宋体" w:hAnsi="宋体" w:cs="Arial"/>
                <w:color w:val="000000"/>
                <w:kern w:val="0"/>
                <w:sz w:val="24"/>
                <w:highlight w:val="none"/>
              </w:rPr>
            </w:pPr>
            <w:r>
              <w:rPr>
                <w:rFonts w:hint="eastAsia" w:ascii="宋体" w:hAnsi="宋体" w:cs="Arial"/>
                <w:color w:val="000000"/>
                <w:kern w:val="0"/>
                <w:sz w:val="24"/>
                <w:highlight w:val="none"/>
              </w:rPr>
              <w:t>估算价</w:t>
            </w:r>
          </w:p>
          <w:p>
            <w:pPr>
              <w:widowControl/>
              <w:snapToGrid w:val="0"/>
              <w:jc w:val="center"/>
              <w:rPr>
                <w:rFonts w:ascii="宋体" w:hAnsi="宋体" w:cs="Arial"/>
                <w:color w:val="000000"/>
                <w:kern w:val="0"/>
                <w:sz w:val="24"/>
                <w:highlight w:val="none"/>
              </w:rPr>
            </w:pPr>
            <w:r>
              <w:rPr>
                <w:rFonts w:hint="eastAsia" w:ascii="宋体" w:hAnsi="宋体" w:cs="Arial"/>
                <w:color w:val="000000"/>
                <w:kern w:val="0"/>
                <w:sz w:val="24"/>
                <w:highlight w:val="none"/>
              </w:rPr>
              <w:t>（万元）</w:t>
            </w:r>
          </w:p>
        </w:tc>
        <w:tc>
          <w:tcPr>
            <w:tcW w:w="2490" w:type="dxa"/>
            <w:tcMar>
              <w:top w:w="30" w:type="dxa"/>
              <w:left w:w="30" w:type="dxa"/>
              <w:bottom w:w="30" w:type="dxa"/>
              <w:right w:w="30" w:type="dxa"/>
            </w:tcMar>
            <w:vAlign w:val="center"/>
          </w:tcPr>
          <w:p>
            <w:pPr>
              <w:widowControl/>
              <w:snapToGrid w:val="0"/>
              <w:jc w:val="center"/>
              <w:rPr>
                <w:rFonts w:ascii="宋体" w:hAnsi="宋体" w:cs="Arial"/>
                <w:color w:val="000000"/>
                <w:kern w:val="0"/>
                <w:sz w:val="24"/>
                <w:highlight w:val="none"/>
              </w:rPr>
            </w:pPr>
            <w:r>
              <w:rPr>
                <w:rFonts w:hint="eastAsia" w:ascii="宋体" w:hAnsi="宋体"/>
                <w:color w:val="000000"/>
                <w:sz w:val="24"/>
                <w:highlight w:val="none"/>
              </w:rPr>
              <w:t>投标人资质类别、等级</w:t>
            </w:r>
          </w:p>
        </w:tc>
        <w:tc>
          <w:tcPr>
            <w:tcW w:w="1861" w:type="dxa"/>
            <w:vAlign w:val="center"/>
          </w:tcPr>
          <w:p>
            <w:pPr>
              <w:widowControl/>
              <w:snapToGrid w:val="0"/>
              <w:jc w:val="center"/>
              <w:rPr>
                <w:rFonts w:ascii="宋体" w:hAnsi="宋体"/>
                <w:color w:val="000000"/>
                <w:sz w:val="24"/>
                <w:highlight w:val="none"/>
              </w:rPr>
            </w:pPr>
            <w:r>
              <w:rPr>
                <w:rFonts w:hint="eastAsia" w:ascii="宋体" w:hAnsi="宋体"/>
                <w:color w:val="000000"/>
                <w:sz w:val="24"/>
                <w:highlight w:val="none"/>
              </w:rPr>
              <w:t>注册建造师</w:t>
            </w:r>
          </w:p>
          <w:p>
            <w:pPr>
              <w:widowControl/>
              <w:snapToGrid w:val="0"/>
              <w:jc w:val="center"/>
              <w:rPr>
                <w:rFonts w:ascii="宋体" w:hAnsi="宋体" w:cs="Arial"/>
                <w:color w:val="000000"/>
                <w:kern w:val="0"/>
                <w:sz w:val="24"/>
                <w:highlight w:val="none"/>
              </w:rPr>
            </w:pPr>
            <w:r>
              <w:rPr>
                <w:rFonts w:hint="eastAsia" w:ascii="宋体" w:hAnsi="宋体"/>
                <w:color w:val="000000"/>
                <w:sz w:val="24"/>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799" w:type="dxa"/>
            <w:vAlign w:val="center"/>
          </w:tcPr>
          <w:p>
            <w:pPr>
              <w:snapToGrid w:val="0"/>
              <w:jc w:val="center"/>
              <w:rPr>
                <w:rFonts w:ascii="宋体" w:hAnsi="宋体" w:cs="Arial"/>
                <w:color w:val="000000"/>
                <w:kern w:val="0"/>
                <w:sz w:val="24"/>
                <w:highlight w:val="none"/>
              </w:rPr>
            </w:pPr>
            <w:r>
              <w:rPr>
                <w:rFonts w:hint="eastAsia" w:ascii="宋体" w:hAnsi="宋体" w:cs="Arial"/>
                <w:color w:val="000000"/>
                <w:kern w:val="0"/>
                <w:sz w:val="24"/>
                <w:highlight w:val="none"/>
              </w:rPr>
              <w:t>01</w:t>
            </w:r>
          </w:p>
        </w:tc>
        <w:tc>
          <w:tcPr>
            <w:tcW w:w="1902" w:type="dxa"/>
            <w:vAlign w:val="center"/>
          </w:tcPr>
          <w:p>
            <w:pPr>
              <w:snapToGrid w:val="0"/>
              <w:jc w:val="center"/>
              <w:rPr>
                <w:rFonts w:hint="eastAsia" w:ascii="宋体" w:hAnsi="宋体" w:eastAsia="宋体"/>
                <w:color w:val="000000"/>
                <w:sz w:val="24"/>
                <w:highlight w:val="none"/>
                <w:lang w:eastAsia="zh-CN"/>
              </w:rPr>
            </w:pPr>
            <w:r>
              <w:rPr>
                <w:rFonts w:hint="eastAsia" w:ascii="宋体" w:hAnsi="宋体"/>
                <w:kern w:val="0"/>
                <w:sz w:val="24"/>
                <w:highlight w:val="none"/>
                <w:lang w:eastAsia="zh-CN"/>
              </w:rPr>
              <w:t>政新花苑商铺外墙防水维修项目</w:t>
            </w:r>
          </w:p>
        </w:tc>
        <w:tc>
          <w:tcPr>
            <w:tcW w:w="1062" w:type="dxa"/>
            <w:vAlign w:val="center"/>
          </w:tcPr>
          <w:p>
            <w:pPr>
              <w:widowControl/>
              <w:snapToGrid w:val="0"/>
              <w:spacing w:before="100" w:beforeAutospacing="1" w:after="100" w:afterAutospacing="1"/>
              <w:ind w:right="-21"/>
              <w:jc w:val="center"/>
              <w:rPr>
                <w:rFonts w:ascii="宋体" w:hAnsi="宋体" w:cs="Arial"/>
                <w:color w:val="000000"/>
                <w:kern w:val="0"/>
                <w:sz w:val="24"/>
                <w:highlight w:val="none"/>
              </w:rPr>
            </w:pPr>
            <w:r>
              <w:rPr>
                <w:rFonts w:hint="eastAsia" w:ascii="宋体" w:hAnsi="宋体" w:cs="宋体"/>
                <w:sz w:val="24"/>
                <w:highlight w:val="none"/>
              </w:rPr>
              <w:t>/</w:t>
            </w:r>
          </w:p>
        </w:tc>
        <w:tc>
          <w:tcPr>
            <w:tcW w:w="1385" w:type="dxa"/>
            <w:tcMar>
              <w:top w:w="30" w:type="dxa"/>
              <w:left w:w="30" w:type="dxa"/>
              <w:bottom w:w="30" w:type="dxa"/>
              <w:right w:w="30" w:type="dxa"/>
            </w:tcMar>
            <w:vAlign w:val="center"/>
          </w:tcPr>
          <w:p>
            <w:pPr>
              <w:snapToGrid w:val="0"/>
              <w:jc w:val="center"/>
              <w:rPr>
                <w:rFonts w:hint="default" w:ascii="宋体" w:hAnsi="宋体" w:eastAsia="宋体"/>
                <w:sz w:val="24"/>
                <w:highlight w:val="none"/>
                <w:lang w:val="en-US" w:eastAsia="zh-CN"/>
              </w:rPr>
            </w:pPr>
            <w:r>
              <w:rPr>
                <w:rFonts w:hint="eastAsia" w:ascii="宋体" w:hAnsi="宋体"/>
                <w:kern w:val="0"/>
                <w:sz w:val="24"/>
                <w:highlight w:val="none"/>
                <w:lang w:val="en-US" w:eastAsia="zh-CN"/>
              </w:rPr>
              <w:t>10</w:t>
            </w:r>
          </w:p>
        </w:tc>
        <w:tc>
          <w:tcPr>
            <w:tcW w:w="2490" w:type="dxa"/>
            <w:tcMar>
              <w:top w:w="30" w:type="dxa"/>
              <w:left w:w="30" w:type="dxa"/>
              <w:bottom w:w="30" w:type="dxa"/>
              <w:right w:w="30" w:type="dxa"/>
            </w:tcMar>
            <w:vAlign w:val="center"/>
          </w:tcPr>
          <w:p>
            <w:pPr>
              <w:snapToGrid w:val="0"/>
              <w:jc w:val="center"/>
              <w:rPr>
                <w:rFonts w:ascii="宋体" w:hAnsi="宋体"/>
                <w:sz w:val="24"/>
                <w:highlight w:val="none"/>
              </w:rPr>
            </w:pPr>
            <w:r>
              <w:rPr>
                <w:rFonts w:hint="eastAsia" w:ascii="宋体" w:hAnsi="宋体" w:cs="宋体"/>
                <w:spacing w:val="9"/>
                <w:sz w:val="24"/>
                <w:highlight w:val="none"/>
              </w:rPr>
              <w:t>建筑工程施工总承包三</w:t>
            </w:r>
            <w:r>
              <w:rPr>
                <w:rFonts w:hint="eastAsia" w:ascii="宋体" w:hAnsi="宋体" w:cs="宋体"/>
                <w:spacing w:val="7"/>
                <w:sz w:val="24"/>
                <w:highlight w:val="none"/>
              </w:rPr>
              <w:t>级及以上</w:t>
            </w:r>
          </w:p>
        </w:tc>
        <w:tc>
          <w:tcPr>
            <w:tcW w:w="1861" w:type="dxa"/>
            <w:vAlign w:val="center"/>
          </w:tcPr>
          <w:p>
            <w:pPr>
              <w:widowControl/>
              <w:snapToGrid w:val="0"/>
              <w:jc w:val="center"/>
              <w:rPr>
                <w:rFonts w:ascii="宋体" w:hAnsi="宋体" w:cs="Arial"/>
                <w:kern w:val="0"/>
                <w:sz w:val="24"/>
                <w:highlight w:val="none"/>
              </w:rPr>
            </w:pPr>
            <w:r>
              <w:rPr>
                <w:rFonts w:hint="eastAsia" w:ascii="宋体" w:hAnsi="宋体" w:cs="宋体"/>
                <w:spacing w:val="13"/>
                <w:sz w:val="24"/>
                <w:highlight w:val="none"/>
              </w:rPr>
              <w:t>建</w:t>
            </w:r>
            <w:r>
              <w:rPr>
                <w:rFonts w:hint="eastAsia" w:ascii="宋体" w:hAnsi="宋体" w:cs="宋体"/>
                <w:spacing w:val="8"/>
                <w:sz w:val="24"/>
                <w:highlight w:val="none"/>
              </w:rPr>
              <w:t>筑工程二级及以上</w:t>
            </w:r>
          </w:p>
        </w:tc>
      </w:tr>
    </w:tbl>
    <w:p>
      <w:pPr>
        <w:spacing w:line="520" w:lineRule="exact"/>
        <w:ind w:firstLine="480" w:firstLineChars="200"/>
        <w:rPr>
          <w:rFonts w:ascii="宋体" w:hAnsi="宋体"/>
          <w:b/>
          <w:bCs/>
          <w:kern w:val="0"/>
          <w:sz w:val="24"/>
          <w:highlight w:val="none"/>
        </w:rPr>
      </w:pPr>
      <w:r>
        <w:rPr>
          <w:rFonts w:hint="eastAsia" w:ascii="宋体" w:hAnsi="宋体" w:cs="宋体"/>
          <w:kern w:val="0"/>
          <w:sz w:val="24"/>
          <w:highlight w:val="none"/>
        </w:rPr>
        <w:t>3.1本次招标</w:t>
      </w:r>
      <w:r>
        <w:rPr>
          <w:rFonts w:hint="eastAsia" w:ascii="宋体" w:hAnsi="宋体" w:cs="宋体"/>
          <w:b/>
          <w:bCs/>
          <w:kern w:val="0"/>
          <w:sz w:val="24"/>
          <w:highlight w:val="none"/>
          <w:u w:val="single"/>
        </w:rPr>
        <w:t>不接受</w:t>
      </w:r>
      <w:r>
        <w:rPr>
          <w:rFonts w:hint="eastAsia" w:ascii="宋体" w:hAnsi="宋体" w:cs="宋体"/>
          <w:kern w:val="0"/>
          <w:sz w:val="24"/>
          <w:highlight w:val="none"/>
        </w:rPr>
        <w:t>联合体投标。</w:t>
      </w:r>
      <w:r>
        <w:rPr>
          <w:rFonts w:ascii="宋体" w:hAnsi="宋体"/>
          <w:kern w:val="0"/>
          <w:sz w:val="24"/>
          <w:highlight w:val="none"/>
        </w:rPr>
        <w:t>联合体投标的，应满足下列要求：</w:t>
      </w:r>
      <w:r>
        <w:rPr>
          <w:rFonts w:hint="eastAsia" w:ascii="宋体" w:hAnsi="宋体"/>
          <w:b/>
          <w:bCs/>
          <w:kern w:val="0"/>
          <w:sz w:val="24"/>
          <w:highlight w:val="none"/>
          <w:u w:val="single"/>
        </w:rPr>
        <w:t>/</w:t>
      </w:r>
      <w:r>
        <w:rPr>
          <w:rFonts w:hint="eastAsia" w:ascii="宋体" w:hAnsi="宋体"/>
          <w:b/>
          <w:bCs/>
          <w:kern w:val="0"/>
          <w:sz w:val="24"/>
          <w:highlight w:val="none"/>
        </w:rPr>
        <w:t>。</w:t>
      </w:r>
    </w:p>
    <w:p>
      <w:pPr>
        <w:spacing w:line="52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3.2其它报名条件：</w:t>
      </w:r>
      <w:r>
        <w:rPr>
          <w:rFonts w:hint="eastAsia" w:ascii="宋体" w:hAnsi="宋体" w:cs="宋体"/>
          <w:color w:val="000000"/>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80" w:firstLineChars="200"/>
        <w:rPr>
          <w:rFonts w:hint="eastAsia" w:ascii="宋体" w:hAnsi="宋体" w:cs="宋体"/>
          <w:kern w:val="0"/>
          <w:sz w:val="24"/>
          <w:highlight w:val="none"/>
        </w:rPr>
      </w:pPr>
      <w:bookmarkStart w:id="7" w:name="_Toc389065128"/>
      <w:r>
        <w:rPr>
          <w:rFonts w:hint="eastAsia" w:ascii="宋体" w:hAnsi="宋体" w:cs="宋体"/>
          <w:kern w:val="0"/>
          <w:sz w:val="24"/>
          <w:highlight w:val="none"/>
        </w:rPr>
        <w:t>时间：</w:t>
      </w:r>
      <w:r>
        <w:rPr>
          <w:rFonts w:hint="eastAsia" w:ascii="宋体" w:hAnsi="宋体" w:cs="宋体"/>
          <w:kern w:val="0"/>
          <w:sz w:val="24"/>
          <w:highlight w:val="none"/>
          <w:lang w:eastAsia="zh-CN"/>
        </w:rPr>
        <w:t>2023年</w:t>
      </w:r>
      <w:r>
        <w:rPr>
          <w:rFonts w:hint="eastAsia" w:ascii="宋体" w:hAnsi="宋体" w:cs="宋体"/>
          <w:kern w:val="0"/>
          <w:sz w:val="24"/>
          <w:highlight w:val="none"/>
          <w:lang w:val="en-US" w:eastAsia="zh-CN"/>
        </w:rPr>
        <w:t>10</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lang w:eastAsia="zh-CN"/>
        </w:rPr>
        <w:t>日</w:t>
      </w:r>
      <w:r>
        <w:rPr>
          <w:rFonts w:hint="eastAsia" w:ascii="宋体" w:hAnsi="宋体" w:cs="宋体"/>
          <w:kern w:val="0"/>
          <w:sz w:val="24"/>
          <w:highlight w:val="none"/>
        </w:rPr>
        <w:t>至</w:t>
      </w:r>
      <w:r>
        <w:rPr>
          <w:rFonts w:hint="eastAsia" w:ascii="宋体" w:hAnsi="宋体" w:cs="宋体"/>
          <w:kern w:val="0"/>
          <w:sz w:val="24"/>
          <w:highlight w:val="none"/>
          <w:lang w:eastAsia="zh-CN"/>
        </w:rPr>
        <w:t>2023年</w:t>
      </w:r>
      <w:r>
        <w:rPr>
          <w:rFonts w:hint="eastAsia" w:ascii="宋体" w:hAnsi="宋体" w:cs="宋体"/>
          <w:kern w:val="0"/>
          <w:sz w:val="24"/>
          <w:highlight w:val="none"/>
          <w:lang w:val="en-US" w:eastAsia="zh-CN"/>
        </w:rPr>
        <w:t>11</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日</w:t>
      </w:r>
      <w:r>
        <w:rPr>
          <w:rFonts w:hint="eastAsia" w:ascii="宋体" w:hAnsi="宋体" w:cs="宋体"/>
          <w:kern w:val="0"/>
          <w:sz w:val="24"/>
          <w:highlight w:val="none"/>
        </w:rPr>
        <w:t>17：00时（北京时间，法定节假日除外）</w:t>
      </w:r>
    </w:p>
    <w:p>
      <w:pPr>
        <w:spacing w:line="52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rPr>
        <w:t>地点：常州市飞龙东路108号-304室（翠园世家商业街三楼）</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方式：（投标人可采取以下任一种方式获取招标文件）</w:t>
      </w:r>
    </w:p>
    <w:p>
      <w:pPr>
        <w:spacing w:line="520" w:lineRule="exact"/>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rPr>
        <w:t>（1）线上</w:t>
      </w:r>
      <w:r>
        <w:rPr>
          <w:rFonts w:hint="eastAsia" w:ascii="宋体" w:hAnsi="宋体" w:cs="宋体"/>
          <w:kern w:val="0"/>
          <w:sz w:val="24"/>
          <w:highlight w:val="none"/>
          <w:lang w:val="en-US" w:eastAsia="zh-CN"/>
        </w:rPr>
        <w:t>申领</w:t>
      </w:r>
      <w:r>
        <w:rPr>
          <w:rFonts w:hint="eastAsia" w:ascii="宋体" w:hAnsi="宋体" w:cs="宋体"/>
          <w:kern w:val="0"/>
          <w:sz w:val="24"/>
          <w:highlight w:val="none"/>
        </w:rPr>
        <w:t>：投标人在规定的时间内将</w:t>
      </w:r>
      <w:r>
        <w:rPr>
          <w:rFonts w:hint="eastAsia" w:ascii="宋体" w:hAnsi="宋体" w:cs="宋体"/>
          <w:kern w:val="0"/>
          <w:sz w:val="24"/>
          <w:highlight w:val="none"/>
          <w:lang w:val="en-US" w:eastAsia="zh-CN"/>
        </w:rPr>
        <w:t>相关</w:t>
      </w:r>
      <w:r>
        <w:rPr>
          <w:rFonts w:hint="eastAsia" w:ascii="宋体" w:hAnsi="宋体" w:cs="宋体"/>
          <w:kern w:val="0"/>
          <w:sz w:val="24"/>
          <w:highlight w:val="none"/>
        </w:rPr>
        <w:t>材料扫描</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PDF格式</w:t>
      </w:r>
      <w:r>
        <w:rPr>
          <w:rFonts w:hint="eastAsia" w:ascii="宋体" w:hAnsi="宋体" w:cs="宋体"/>
          <w:kern w:val="0"/>
          <w:sz w:val="24"/>
          <w:highlight w:val="none"/>
          <w:lang w:eastAsia="zh-CN"/>
        </w:rPr>
        <w:t>）</w:t>
      </w:r>
      <w:r>
        <w:rPr>
          <w:rFonts w:hint="eastAsia" w:ascii="宋体" w:hAnsi="宋体" w:cs="宋体"/>
          <w:kern w:val="0"/>
          <w:sz w:val="24"/>
          <w:highlight w:val="none"/>
        </w:rPr>
        <w:t>发至本公司邮箱“2406652663@qq.com”并按</w:t>
      </w:r>
      <w:r>
        <w:rPr>
          <w:rFonts w:hint="eastAsia" w:ascii="宋体" w:hAnsi="宋体" w:cs="宋体"/>
          <w:kern w:val="0"/>
          <w:sz w:val="24"/>
          <w:highlight w:val="none"/>
          <w:lang w:val="en-US" w:eastAsia="zh-CN"/>
        </w:rPr>
        <w:t>邮箱回复</w:t>
      </w:r>
      <w:r>
        <w:rPr>
          <w:rFonts w:hint="eastAsia" w:ascii="宋体" w:hAnsi="宋体" w:cs="宋体"/>
          <w:kern w:val="0"/>
          <w:sz w:val="24"/>
          <w:highlight w:val="none"/>
        </w:rPr>
        <w:t>要求交纳费用后，招标文件以邮件形式发送至投标人邮箱。咨询</w:t>
      </w:r>
      <w:r>
        <w:rPr>
          <w:rFonts w:hint="eastAsia" w:ascii="宋体" w:hAnsi="宋体" w:cs="宋体"/>
          <w:kern w:val="0"/>
          <w:sz w:val="24"/>
          <w:highlight w:val="none"/>
          <w:lang w:val="en-US" w:eastAsia="zh-CN"/>
        </w:rPr>
        <w:t>电话</w:t>
      </w:r>
      <w:r>
        <w:rPr>
          <w:rFonts w:hint="eastAsia" w:ascii="宋体" w:hAnsi="宋体" w:cs="宋体"/>
          <w:kern w:val="0"/>
          <w:sz w:val="24"/>
          <w:highlight w:val="none"/>
        </w:rPr>
        <w:t>：0519-81882063</w:t>
      </w:r>
      <w:r>
        <w:rPr>
          <w:rFonts w:hint="eastAsia" w:ascii="宋体" w:hAnsi="宋体" w:cs="宋体"/>
          <w:kern w:val="0"/>
          <w:sz w:val="24"/>
          <w:highlight w:val="none"/>
          <w:lang w:eastAsia="zh-CN"/>
        </w:rPr>
        <w:t>。</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（2）现场</w:t>
      </w:r>
      <w:r>
        <w:rPr>
          <w:rFonts w:hint="eastAsia" w:ascii="宋体" w:hAnsi="宋体" w:cs="宋体"/>
          <w:kern w:val="0"/>
          <w:sz w:val="24"/>
          <w:highlight w:val="none"/>
          <w:lang w:val="en-US" w:eastAsia="zh-CN"/>
        </w:rPr>
        <w:t>申领</w:t>
      </w:r>
      <w:r>
        <w:rPr>
          <w:rFonts w:hint="eastAsia" w:ascii="宋体" w:hAnsi="宋体" w:cs="宋体"/>
          <w:kern w:val="0"/>
          <w:sz w:val="24"/>
          <w:highlight w:val="none"/>
        </w:rPr>
        <w:t>：至常州润邦招标代理有限公司前台</w:t>
      </w:r>
      <w:r>
        <w:rPr>
          <w:rFonts w:hint="eastAsia" w:ascii="宋体" w:hAnsi="宋体" w:cs="宋体"/>
          <w:kern w:val="0"/>
          <w:sz w:val="24"/>
          <w:highlight w:val="none"/>
          <w:lang w:val="en-US" w:eastAsia="zh-CN"/>
        </w:rPr>
        <w:t>领取</w:t>
      </w:r>
      <w:r>
        <w:rPr>
          <w:rFonts w:hint="eastAsia" w:ascii="宋体" w:hAnsi="宋体" w:cs="宋体"/>
          <w:kern w:val="0"/>
          <w:sz w:val="24"/>
          <w:highlight w:val="none"/>
        </w:rPr>
        <w:t>。</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w:t>
      </w:r>
      <w:r>
        <w:rPr>
          <w:rFonts w:hint="eastAsia" w:ascii="宋体" w:hAnsi="宋体" w:cs="宋体"/>
          <w:kern w:val="0"/>
          <w:sz w:val="24"/>
          <w:highlight w:val="none"/>
        </w:rPr>
        <w:t>投标人获取招标文件时应提供如下材料：</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①招标文件获取申请表（格式见公告附件）</w:t>
      </w:r>
    </w:p>
    <w:p>
      <w:pPr>
        <w:spacing w:line="52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rPr>
        <w:t>②</w:t>
      </w:r>
      <w:r>
        <w:rPr>
          <w:rFonts w:hint="eastAsia" w:ascii="宋体" w:hAnsi="宋体" w:cs="宋体"/>
          <w:kern w:val="0"/>
          <w:sz w:val="24"/>
          <w:highlight w:val="none"/>
          <w:lang w:val="en-US" w:eastAsia="zh-CN"/>
        </w:rPr>
        <w:t>提供</w:t>
      </w:r>
      <w:r>
        <w:rPr>
          <w:rFonts w:hint="eastAsia" w:ascii="宋体" w:hAnsi="宋体" w:cs="宋体"/>
          <w:kern w:val="0"/>
          <w:sz w:val="24"/>
          <w:highlight w:val="none"/>
        </w:rPr>
        <w:t>企业营业执照（</w:t>
      </w:r>
      <w:r>
        <w:rPr>
          <w:rFonts w:hint="eastAsia" w:ascii="宋体" w:hAnsi="宋体" w:cs="宋体"/>
          <w:kern w:val="0"/>
          <w:sz w:val="24"/>
          <w:highlight w:val="none"/>
          <w:lang w:val="en-US" w:eastAsia="zh-CN"/>
        </w:rPr>
        <w:t>三证合一</w:t>
      </w:r>
      <w:r>
        <w:rPr>
          <w:rFonts w:hint="eastAsia" w:ascii="宋体" w:hAnsi="宋体" w:cs="宋体"/>
          <w:kern w:val="0"/>
          <w:sz w:val="24"/>
          <w:highlight w:val="none"/>
        </w:rPr>
        <w:t>复印件加盖公章）</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售价：人民币伍佰元。招标文件售后一概不退</w:t>
      </w:r>
      <w:r>
        <w:rPr>
          <w:rFonts w:hint="eastAsia" w:ascii="宋体" w:hAnsi="宋体" w:cs="宋体"/>
          <w:kern w:val="0"/>
          <w:sz w:val="24"/>
          <w:highlight w:val="none"/>
          <w:lang w:eastAsia="zh-CN"/>
        </w:rPr>
        <w:t>，</w:t>
      </w:r>
      <w:r>
        <w:rPr>
          <w:rFonts w:hint="eastAsia" w:ascii="宋体" w:hAnsi="宋体" w:cs="宋体"/>
          <w:kern w:val="0"/>
          <w:sz w:val="24"/>
          <w:highlight w:val="none"/>
        </w:rPr>
        <w:t>未获取招标文件的投标人不得参与本项目投标。</w:t>
      </w:r>
    </w:p>
    <w:p>
      <w:pPr>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ascii="宋体" w:hAnsi="宋体" w:cs="宋体"/>
          <w:kern w:val="0"/>
          <w:sz w:val="24"/>
          <w:highlight w:val="none"/>
        </w:rPr>
      </w:pPr>
      <w:r>
        <w:rPr>
          <w:rFonts w:ascii="宋体" w:hAnsi="宋体" w:cs="宋体"/>
          <w:kern w:val="0"/>
          <w:sz w:val="24"/>
          <w:highlight w:val="none"/>
        </w:rPr>
        <w:t>本次招标公告在</w:t>
      </w:r>
      <w:r>
        <w:rPr>
          <w:rFonts w:ascii="宋体" w:hAnsi="宋体" w:cs="宋体"/>
          <w:kern w:val="0"/>
          <w:sz w:val="24"/>
          <w:highlight w:val="none"/>
          <w:u w:val="single"/>
        </w:rPr>
        <w:t>常州</w:t>
      </w:r>
      <w:r>
        <w:rPr>
          <w:rFonts w:hint="eastAsia" w:ascii="宋体" w:hAnsi="宋体" w:cs="宋体"/>
          <w:kern w:val="0"/>
          <w:sz w:val="24"/>
          <w:highlight w:val="none"/>
          <w:u w:val="single"/>
          <w:lang w:val="en-US" w:eastAsia="zh-CN"/>
        </w:rPr>
        <w:t>润邦招标代理有限公司</w:t>
      </w:r>
      <w:r>
        <w:rPr>
          <w:rFonts w:hint="eastAsia" w:ascii="宋体" w:hAnsi="宋体" w:cs="宋体"/>
          <w:kern w:val="0"/>
          <w:sz w:val="24"/>
          <w:highlight w:val="none"/>
          <w:u w:val="none"/>
          <w:lang w:val="en-US" w:eastAsia="zh-CN"/>
        </w:rPr>
        <w:t>官网</w:t>
      </w:r>
      <w:r>
        <w:rPr>
          <w:rFonts w:ascii="宋体" w:hAnsi="宋体" w:cs="宋体"/>
          <w:kern w:val="0"/>
          <w:sz w:val="24"/>
          <w:highlight w:val="none"/>
        </w:rPr>
        <w:t>发布。</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本公告发布时间为：2023年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日至 2023年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w:t>
      </w:r>
      <w:r>
        <w:rPr>
          <w:rFonts w:hint="eastAsia" w:ascii="宋体" w:hAnsi="宋体" w:cs="宋体"/>
          <w:kern w:val="0"/>
          <w:sz w:val="24"/>
          <w:highlight w:val="none"/>
        </w:rPr>
        <w:t>日</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本项目资格审查办法：见附件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本项目评标细则：见附件</w:t>
      </w:r>
    </w:p>
    <w:p>
      <w:pPr>
        <w:spacing w:line="520" w:lineRule="exact"/>
        <w:rPr>
          <w:rFonts w:ascii="宋体" w:hAnsi="宋体" w:cs="Arial"/>
          <w:b/>
          <w:bCs/>
          <w:color w:val="000000"/>
          <w:kern w:val="0"/>
          <w:sz w:val="28"/>
          <w:szCs w:val="28"/>
          <w:highlight w:val="none"/>
        </w:rPr>
      </w:pPr>
      <w:bookmarkStart w:id="9" w:name="_Toc522797139"/>
      <w:r>
        <w:rPr>
          <w:rFonts w:hint="eastAsia" w:ascii="宋体" w:hAnsi="宋体" w:cs="Arial"/>
          <w:b/>
          <w:bCs/>
          <w:color w:val="000000"/>
          <w:kern w:val="0"/>
          <w:sz w:val="28"/>
          <w:szCs w:val="28"/>
          <w:highlight w:val="none"/>
        </w:rPr>
        <w:t>六、联系方式</w:t>
      </w:r>
      <w:bookmarkEnd w:id="9"/>
    </w:p>
    <w:tbl>
      <w:tblPr>
        <w:tblStyle w:val="15"/>
        <w:tblW w:w="0" w:type="auto"/>
        <w:jc w:val="center"/>
        <w:tblLayout w:type="fixed"/>
        <w:tblCellMar>
          <w:top w:w="0" w:type="dxa"/>
          <w:left w:w="108" w:type="dxa"/>
          <w:bottom w:w="0" w:type="dxa"/>
          <w:right w:w="108" w:type="dxa"/>
        </w:tblCellMar>
      </w:tblPr>
      <w:tblGrid>
        <w:gridCol w:w="4267"/>
        <w:gridCol w:w="5266"/>
      </w:tblGrid>
      <w:tr>
        <w:tblPrEx>
          <w:tblCellMar>
            <w:top w:w="0" w:type="dxa"/>
            <w:left w:w="108" w:type="dxa"/>
            <w:bottom w:w="0" w:type="dxa"/>
            <w:right w:w="108" w:type="dxa"/>
          </w:tblCellMar>
        </w:tblPrEx>
        <w:trPr>
          <w:trHeight w:val="533" w:hRule="atLeast"/>
          <w:jc w:val="center"/>
        </w:trPr>
        <w:tc>
          <w:tcPr>
            <w:tcW w:w="4267" w:type="dxa"/>
            <w:vAlign w:val="center"/>
          </w:tcPr>
          <w:p>
            <w:pPr>
              <w:widowControl/>
              <w:spacing w:line="440" w:lineRule="exact"/>
              <w:rPr>
                <w:rFonts w:ascii="宋体" w:hAnsi="宋体" w:cs="宋体"/>
                <w:bCs/>
                <w:sz w:val="24"/>
                <w:highlight w:val="none"/>
              </w:rPr>
            </w:pPr>
            <w:r>
              <w:rPr>
                <w:rFonts w:hint="eastAsia" w:ascii="宋体" w:hAnsi="宋体" w:cs="宋体"/>
                <w:color w:val="000000"/>
                <w:kern w:val="0"/>
                <w:sz w:val="24"/>
                <w:highlight w:val="none"/>
              </w:rPr>
              <w:t>招标人：</w:t>
            </w:r>
            <w:r>
              <w:rPr>
                <w:rFonts w:hint="eastAsia" w:ascii="宋体" w:hAnsi="宋体" w:cs="宋体"/>
                <w:bCs/>
                <w:color w:val="000000"/>
                <w:kern w:val="0"/>
                <w:sz w:val="24"/>
                <w:highlight w:val="none"/>
              </w:rPr>
              <w:t>常州市武进区潞城街道办事处</w:t>
            </w:r>
          </w:p>
        </w:tc>
        <w:tc>
          <w:tcPr>
            <w:tcW w:w="5266" w:type="dxa"/>
          </w:tcPr>
          <w:p>
            <w:pPr>
              <w:widowControl/>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sz w:val="24"/>
                <w:highlight w:val="none"/>
              </w:rPr>
              <w:t>常州润邦招标代理有限公司</w:t>
            </w:r>
          </w:p>
        </w:tc>
      </w:tr>
      <w:tr>
        <w:tblPrEx>
          <w:tblCellMar>
            <w:top w:w="0" w:type="dxa"/>
            <w:left w:w="108" w:type="dxa"/>
            <w:bottom w:w="0" w:type="dxa"/>
            <w:right w:w="108" w:type="dxa"/>
          </w:tblCellMar>
        </w:tblPrEx>
        <w:trPr>
          <w:trHeight w:val="428" w:hRule="atLeast"/>
          <w:jc w:val="center"/>
        </w:trPr>
        <w:tc>
          <w:tcPr>
            <w:tcW w:w="4267" w:type="dxa"/>
            <w:vAlign w:val="center"/>
          </w:tcPr>
          <w:p>
            <w:pPr>
              <w:widowControl/>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地  址：经开区潞城街道</w:t>
            </w:r>
          </w:p>
        </w:tc>
        <w:tc>
          <w:tcPr>
            <w:tcW w:w="5266" w:type="dxa"/>
          </w:tcPr>
          <w:p>
            <w:pPr>
              <w:widowControl/>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地  址：</w:t>
            </w:r>
            <w:r>
              <w:rPr>
                <w:rFonts w:hint="eastAsia" w:ascii="宋体" w:hAnsi="宋体" w:cs="宋体"/>
                <w:sz w:val="24"/>
                <w:highlight w:val="none"/>
              </w:rPr>
              <w:t>常州市飞龙东路108号-304室（翠园世家商业街三楼）</w:t>
            </w:r>
          </w:p>
        </w:tc>
      </w:tr>
      <w:tr>
        <w:tblPrEx>
          <w:tblCellMar>
            <w:top w:w="0" w:type="dxa"/>
            <w:left w:w="108" w:type="dxa"/>
            <w:bottom w:w="0" w:type="dxa"/>
            <w:right w:w="108" w:type="dxa"/>
          </w:tblCellMar>
        </w:tblPrEx>
        <w:trPr>
          <w:trHeight w:val="422" w:hRule="atLeast"/>
          <w:jc w:val="center"/>
        </w:trPr>
        <w:tc>
          <w:tcPr>
            <w:tcW w:w="4267" w:type="dxa"/>
            <w:vAlign w:val="center"/>
          </w:tcPr>
          <w:p>
            <w:pPr>
              <w:widowControl/>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联系人：刘可</w:t>
            </w:r>
          </w:p>
        </w:tc>
        <w:tc>
          <w:tcPr>
            <w:tcW w:w="5266" w:type="dxa"/>
          </w:tcPr>
          <w:p>
            <w:pPr>
              <w:widowControl/>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联系人：</w:t>
            </w:r>
            <w:r>
              <w:rPr>
                <w:rFonts w:hint="eastAsia" w:ascii="宋体" w:hAnsi="宋体" w:cs="宋体"/>
                <w:spacing w:val="8"/>
                <w:sz w:val="24"/>
                <w:highlight w:val="none"/>
              </w:rPr>
              <w:t>赵婷</w:t>
            </w:r>
          </w:p>
        </w:tc>
      </w:tr>
      <w:tr>
        <w:tblPrEx>
          <w:tblCellMar>
            <w:top w:w="0" w:type="dxa"/>
            <w:left w:w="108" w:type="dxa"/>
            <w:bottom w:w="0" w:type="dxa"/>
            <w:right w:w="108" w:type="dxa"/>
          </w:tblCellMar>
        </w:tblPrEx>
        <w:trPr>
          <w:jc w:val="center"/>
        </w:trPr>
        <w:tc>
          <w:tcPr>
            <w:tcW w:w="4267" w:type="dxa"/>
            <w:vAlign w:val="center"/>
          </w:tcPr>
          <w:p>
            <w:pPr>
              <w:widowControl/>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电  话：</w:t>
            </w:r>
            <w:r>
              <w:rPr>
                <w:rFonts w:hint="eastAsia" w:ascii="宋体" w:hAnsi="宋体" w:cs="宋体"/>
                <w:spacing w:val="3"/>
                <w:sz w:val="24"/>
                <w:highlight w:val="none"/>
              </w:rPr>
              <w:t>0519</w:t>
            </w:r>
            <w:r>
              <w:rPr>
                <w:rFonts w:hint="eastAsia" w:ascii="宋体" w:hAnsi="宋体" w:cs="宋体"/>
                <w:spacing w:val="3"/>
                <w:sz w:val="24"/>
                <w:highlight w:val="none"/>
                <w:lang w:val="en-US" w:eastAsia="zh-CN"/>
              </w:rPr>
              <w:t>-</w:t>
            </w:r>
            <w:r>
              <w:rPr>
                <w:rFonts w:hint="eastAsia" w:ascii="宋体" w:hAnsi="宋体" w:cs="宋体"/>
                <w:spacing w:val="3"/>
                <w:sz w:val="24"/>
                <w:highlight w:val="none"/>
              </w:rPr>
              <w:t>68869238</w:t>
            </w:r>
          </w:p>
        </w:tc>
        <w:tc>
          <w:tcPr>
            <w:tcW w:w="5266"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电  话：</w:t>
            </w:r>
            <w:r>
              <w:rPr>
                <w:rFonts w:hint="eastAsia" w:ascii="宋体" w:hAnsi="宋体" w:cs="宋体"/>
                <w:spacing w:val="3"/>
                <w:sz w:val="24"/>
                <w:highlight w:val="none"/>
                <w:lang w:eastAsia="zh-CN"/>
              </w:rPr>
              <w:t>0519</w:t>
            </w:r>
            <w:r>
              <w:rPr>
                <w:rFonts w:hint="eastAsia" w:ascii="宋体" w:hAnsi="宋体" w:cs="宋体"/>
                <w:spacing w:val="3"/>
                <w:sz w:val="24"/>
                <w:highlight w:val="none"/>
                <w:lang w:val="en-US" w:eastAsia="zh-CN"/>
              </w:rPr>
              <w:t>-</w:t>
            </w:r>
            <w:r>
              <w:rPr>
                <w:rFonts w:hint="eastAsia" w:ascii="宋体" w:hAnsi="宋体" w:cs="宋体"/>
                <w:spacing w:val="3"/>
                <w:sz w:val="24"/>
                <w:highlight w:val="none"/>
                <w:lang w:eastAsia="zh-CN"/>
              </w:rPr>
              <w:t>81881991</w:t>
            </w:r>
          </w:p>
        </w:tc>
      </w:tr>
    </w:tbl>
    <w:p>
      <w:pPr>
        <w:spacing w:line="360" w:lineRule="auto"/>
        <w:jc w:val="left"/>
        <w:rPr>
          <w:rFonts w:ascii="宋体" w:hAnsi="宋体" w:cs="宋体"/>
          <w:kern w:val="0"/>
          <w:sz w:val="24"/>
          <w:highlight w:val="none"/>
        </w:rPr>
      </w:pPr>
    </w:p>
    <w:p>
      <w:pPr>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5"/>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5"/>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5"/>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5"/>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5"/>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5"/>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5"/>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5"/>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5"/>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5"/>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5"/>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5"/>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5"/>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5"/>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5"/>
        <w:spacing w:line="360" w:lineRule="auto"/>
        <w:ind w:firstLine="600" w:firstLineChars="250"/>
        <w:rPr>
          <w:rFonts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5"/>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 任何一个成员在“信用中国”（ </w:t>
      </w:r>
      <w:r>
        <w:rPr>
          <w:rFonts w:ascii="宋体" w:hAnsi="宋体"/>
          <w:sz w:val="24"/>
          <w:highlight w:val="none"/>
        </w:rPr>
        <w:drawing>
          <wp:inline distT="0" distB="0" distL="0" distR="0">
            <wp:extent cx="190500" cy="146050"/>
            <wp:effectExtent l="19050" t="0" r="0" b="0"/>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J$ACOF(TYDYECOKVDYB"/>
                    <pic:cNvPicPr>
                      <a:picLocks noChangeAspect="1" noChangeArrowheads="1"/>
                    </pic:cNvPicPr>
                  </pic:nvPicPr>
                  <pic:blipFill>
                    <a:blip r:embed="rId5" cstate="print"/>
                    <a:srcRect/>
                    <a:stretch>
                      <a:fillRect/>
                    </a:stretch>
                  </pic:blipFill>
                  <pic:spPr>
                    <a:xfrm>
                      <a:off x="0" y="0"/>
                      <a:ext cx="190500" cy="146050"/>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5"/>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5"/>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1.项目负责人不得同时在两个或者两个以上单位受聘或者执业。有下列情形之一的.属于同时在两个或者两个以上单位受聘或者执业：</w:t>
      </w:r>
    </w:p>
    <w:p>
      <w:pPr>
        <w:pStyle w:val="45"/>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（1）同时在两个及以上单位签订劳动合同或交纳社会保险； </w:t>
      </w:r>
    </w:p>
    <w:p>
      <w:pPr>
        <w:pStyle w:val="45"/>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（2）在注册单位执业期间,同时在其他企业担任法定代表人；</w:t>
      </w:r>
    </w:p>
    <w:p>
      <w:pPr>
        <w:pStyle w:val="45"/>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（3）将本人执（职）业资格证书同时注册在两个及以上单位。</w:t>
      </w:r>
    </w:p>
    <w:p>
      <w:pPr>
        <w:pStyle w:val="45"/>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highlight w:val="none"/>
        </w:rPr>
      </w:pPr>
      <w:r>
        <w:rPr>
          <w:rFonts w:hint="eastAsia" w:ascii="宋体" w:hAnsi="宋体"/>
          <w:sz w:val="24"/>
          <w:highlight w:val="none"/>
        </w:rPr>
        <w:t>注：仅限以上三种情</w:t>
      </w:r>
      <w:r>
        <w:rPr>
          <w:rFonts w:ascii="宋体" w:hAnsi="宋体" w:eastAsia="宋体" w:cs="宋体"/>
          <w:sz w:val="24"/>
          <w:szCs w:val="24"/>
          <w:highlight w:val="none"/>
        </w:rPr>
        <w:t>形。</w:t>
      </w:r>
    </w:p>
    <w:p>
      <w:pPr>
        <w:pStyle w:val="45"/>
        <w:shd w:val="clea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5"/>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项目负责人无在建工程指项目负责人不得同时在其他建设工程项目中担任关键岗位人员、不在本项目兼任本项目的其它岗位。</w:t>
      </w:r>
    </w:p>
    <w:p>
      <w:pPr>
        <w:pStyle w:val="45"/>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5"/>
        <w:spacing w:line="360" w:lineRule="auto"/>
        <w:ind w:firstLine="480" w:firstLineChars="200"/>
        <w:rPr>
          <w:rFonts w:ascii="宋体" w:hAnsi="宋体"/>
          <w:sz w:val="24"/>
          <w:highlight w:val="none"/>
        </w:rPr>
      </w:pPr>
      <w:r>
        <w:rPr>
          <w:rFonts w:hint="eastAsia" w:ascii="宋体" w:hAnsi="宋体"/>
          <w:sz w:val="24"/>
          <w:highlight w:val="none"/>
        </w:rPr>
        <w:t>5.如提供的项目负责人为一级建造师，必须符合《住房和城乡建设部办公厅关于全面实行一级建造师电子注册证书的通知》（建市办【2021】40号）文件的要求。</w:t>
      </w:r>
    </w:p>
    <w:p>
      <w:pPr>
        <w:pStyle w:val="45"/>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5"/>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1.企业和拟派项目负责人近2年内（自投标截止之日起往前推算）没有因串通投标、弄虚作假、以他人名义投标、骗取中标、转包、违法分包等违法行为受到建设等有关部门行政处罚的；</w:t>
      </w:r>
      <w:r>
        <w:rPr>
          <w:rFonts w:hint="eastAsia" w:ascii="宋体" w:hAnsi="宋体"/>
          <w:sz w:val="24"/>
          <w:highlight w:val="none"/>
          <w:lang w:val="en-US" w:eastAsia="zh-CN"/>
        </w:rPr>
        <w:t>同时</w:t>
      </w:r>
      <w:r>
        <w:rPr>
          <w:rFonts w:hint="eastAsia" w:ascii="宋体" w:hAnsi="宋体"/>
          <w:sz w:val="24"/>
          <w:highlight w:val="none"/>
        </w:rPr>
        <w:t>因</w:t>
      </w:r>
      <w:r>
        <w:rPr>
          <w:rFonts w:hint="eastAsia" w:ascii="宋体" w:hAnsi="宋体"/>
          <w:sz w:val="24"/>
          <w:highlight w:val="none"/>
          <w:lang w:val="en-US" w:eastAsia="zh-CN"/>
        </w:rPr>
        <w:t>上述</w:t>
      </w:r>
      <w:r>
        <w:rPr>
          <w:rFonts w:hint="eastAsia" w:ascii="宋体" w:hAnsi="宋体"/>
          <w:sz w:val="24"/>
          <w:highlight w:val="none"/>
        </w:rPr>
        <w:t>违</w:t>
      </w:r>
      <w:r>
        <w:rPr>
          <w:rFonts w:hint="eastAsia" w:ascii="宋体" w:hAnsi="宋体"/>
          <w:sz w:val="24"/>
          <w:highlight w:val="none"/>
          <w:lang w:val="en-US" w:eastAsia="zh-CN"/>
        </w:rPr>
        <w:t>法</w:t>
      </w:r>
      <w:r>
        <w:rPr>
          <w:rFonts w:hint="eastAsia" w:ascii="宋体" w:hAnsi="宋体"/>
          <w:sz w:val="24"/>
          <w:highlight w:val="none"/>
        </w:rPr>
        <w:t>行为被行政处罚的</w:t>
      </w:r>
      <w:r>
        <w:rPr>
          <w:rFonts w:hint="eastAsia" w:ascii="宋体" w:hAnsi="宋体"/>
          <w:sz w:val="24"/>
          <w:highlight w:val="none"/>
          <w:lang w:val="en-US" w:eastAsia="zh-CN"/>
        </w:rPr>
        <w:t>企业</w:t>
      </w:r>
      <w:r>
        <w:rPr>
          <w:rFonts w:hint="eastAsia" w:ascii="宋体" w:hAnsi="宋体"/>
          <w:sz w:val="24"/>
          <w:highlight w:val="none"/>
        </w:rPr>
        <w:t>在行政处罚期间不得参与该项目招投标活动</w:t>
      </w:r>
      <w:r>
        <w:rPr>
          <w:rFonts w:hint="eastAsia" w:ascii="宋体" w:hAnsi="宋体"/>
          <w:sz w:val="24"/>
          <w:highlight w:val="none"/>
          <w:lang w:eastAsia="zh-CN"/>
        </w:rPr>
        <w:t>。</w:t>
      </w:r>
    </w:p>
    <w:p>
      <w:pPr>
        <w:pStyle w:val="45"/>
        <w:spacing w:line="360" w:lineRule="auto"/>
        <w:ind w:firstLine="480" w:firstLineChars="200"/>
        <w:rPr>
          <w:rFonts w:ascii="宋体" w:hAnsi="宋体"/>
          <w:sz w:val="24"/>
          <w:highlight w:val="none"/>
        </w:rPr>
      </w:pPr>
      <w:r>
        <w:rPr>
          <w:rFonts w:hint="eastAsia" w:ascii="宋体" w:hAnsi="宋体"/>
          <w:sz w:val="24"/>
          <w:highlight w:val="none"/>
        </w:rPr>
        <w:t>2.企业近1年内（自投标截止之日起往前推算）没有无正当理由放弃中标资格（不含项目负责人多投多中后放弃）、不与招标人订立合同、拒不提供履约担保情形的；</w:t>
      </w:r>
    </w:p>
    <w:p>
      <w:pPr>
        <w:pStyle w:val="45"/>
        <w:spacing w:line="360" w:lineRule="auto"/>
        <w:ind w:firstLine="480" w:firstLineChars="200"/>
        <w:rPr>
          <w:rFonts w:ascii="宋体" w:hAnsi="宋体"/>
          <w:sz w:val="24"/>
          <w:highlight w:val="none"/>
        </w:rPr>
      </w:pPr>
      <w:r>
        <w:rPr>
          <w:rFonts w:hint="eastAsia" w:ascii="宋体" w:hAnsi="宋体"/>
          <w:sz w:val="24"/>
          <w:highlight w:val="none"/>
        </w:rPr>
        <w:t>3.企业近三个月内（自投标截止之日起往前推算）没有因拖欠工人工资被招标项目所在地省、市、县（市、区）建设行政主管部门通报批评的；</w:t>
      </w:r>
    </w:p>
    <w:p>
      <w:pPr>
        <w:pStyle w:val="45"/>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5"/>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5"/>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5"/>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5"/>
        <w:spacing w:line="360" w:lineRule="auto"/>
        <w:ind w:firstLine="480" w:firstLineChars="200"/>
        <w:rPr>
          <w:rFonts w:ascii="宋体" w:hAnsi="宋体"/>
          <w:sz w:val="24"/>
          <w:highlight w:val="none"/>
        </w:rPr>
      </w:pPr>
      <w:r>
        <w:rPr>
          <w:rFonts w:hint="eastAsia" w:ascii="宋体" w:hAnsi="宋体"/>
          <w:sz w:val="24"/>
          <w:highlight w:val="none"/>
        </w:rPr>
        <w:t>4.1.1</w:t>
      </w:r>
      <w:r>
        <w:rPr>
          <w:rFonts w:hint="eastAsia" w:ascii="宋体" w:hAnsi="宋体" w:cs="宋体"/>
          <w:sz w:val="24"/>
          <w:highlight w:val="none"/>
        </w:rPr>
        <w:t>《经开区工程建设投标申请书》</w:t>
      </w:r>
      <w:r>
        <w:rPr>
          <w:rFonts w:hint="eastAsia" w:ascii="宋体" w:hAnsi="宋体"/>
          <w:sz w:val="24"/>
          <w:highlight w:val="none"/>
        </w:rPr>
        <w:t>（格式详见附件四-1、四-2打印且加盖单位公章及法人签字或盖章）；</w:t>
      </w:r>
    </w:p>
    <w:p>
      <w:pPr>
        <w:pStyle w:val="45"/>
        <w:spacing w:line="360" w:lineRule="auto"/>
        <w:ind w:firstLine="480" w:firstLineChars="200"/>
        <w:rPr>
          <w:rFonts w:ascii="宋体" w:hAnsi="宋体"/>
          <w:sz w:val="24"/>
          <w:highlight w:val="none"/>
        </w:rPr>
      </w:pPr>
      <w:r>
        <w:rPr>
          <w:rFonts w:hint="eastAsia" w:ascii="宋体" w:hAnsi="宋体"/>
          <w:sz w:val="24"/>
          <w:highlight w:val="none"/>
        </w:rPr>
        <w:t>4.1.2企业营业执照（副本）（</w:t>
      </w:r>
      <w:r>
        <w:rPr>
          <w:rFonts w:hint="eastAsia" w:ascii="宋体" w:hAnsi="宋体" w:cs="宋体"/>
          <w:color w:val="000000"/>
          <w:sz w:val="24"/>
          <w:highlight w:val="none"/>
        </w:rPr>
        <w:t>加盖投标单位公章</w:t>
      </w:r>
      <w:r>
        <w:rPr>
          <w:rFonts w:hint="eastAsia" w:ascii="宋体" w:hAnsi="宋体"/>
          <w:sz w:val="24"/>
          <w:highlight w:val="none"/>
        </w:rPr>
        <w:t>）</w:t>
      </w:r>
      <w:r>
        <w:rPr>
          <w:rFonts w:hint="eastAsia" w:ascii="宋体" w:hAnsi="宋体" w:cs="宋体"/>
          <w:sz w:val="24"/>
          <w:highlight w:val="none"/>
        </w:rPr>
        <w:t>；</w:t>
      </w:r>
    </w:p>
    <w:p>
      <w:pPr>
        <w:pStyle w:val="45"/>
        <w:spacing w:line="360" w:lineRule="auto"/>
        <w:ind w:firstLine="480" w:firstLineChars="200"/>
        <w:rPr>
          <w:rFonts w:ascii="宋体" w:hAnsi="宋体" w:cs="宋体"/>
          <w:color w:val="000000"/>
          <w:sz w:val="24"/>
          <w:highlight w:val="none"/>
        </w:rPr>
      </w:pPr>
      <w:r>
        <w:rPr>
          <w:rFonts w:hint="eastAsia" w:ascii="宋体" w:hAnsi="宋体"/>
          <w:sz w:val="24"/>
          <w:highlight w:val="none"/>
        </w:rPr>
        <w:t>4.1.</w:t>
      </w:r>
      <w:r>
        <w:rPr>
          <w:rFonts w:hint="eastAsia" w:ascii="宋体" w:hAnsi="宋体" w:cs="宋体"/>
          <w:color w:val="000000"/>
          <w:sz w:val="24"/>
          <w:highlight w:val="none"/>
        </w:rPr>
        <w:t>3企业资质等级证书（副本）（企业资质情况通过扫描建筑业企业资质证书复印件的二维码核查真实性，加盖投标单位公章）</w:t>
      </w:r>
    </w:p>
    <w:p>
      <w:pPr>
        <w:pStyle w:val="4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4.1.4 企业安全生产许可证（根据项目类别区分，由建设、交通或水利行政主管部门核发，相关官方系统平台可以查询的，以系统打印件加盖投标单位公章为准）；</w:t>
      </w:r>
    </w:p>
    <w:p>
      <w:pPr>
        <w:pStyle w:val="4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4.1.5电子投标保函回执、投标保证金的银行进账单原件或电子回单。</w:t>
      </w:r>
      <w:r>
        <w:rPr>
          <w:rFonts w:hint="eastAsia" w:ascii="宋体" w:hAnsi="宋体"/>
          <w:sz w:val="24"/>
          <w:highlight w:val="none"/>
        </w:rPr>
        <w:t>（投标保证金缴纳说明详见附件三）</w:t>
      </w:r>
      <w:r>
        <w:rPr>
          <w:rFonts w:hint="eastAsia" w:ascii="宋体" w:hAnsi="宋体"/>
          <w:sz w:val="24"/>
          <w:highlight w:val="none"/>
          <w:lang w:eastAsia="zh-CN"/>
        </w:rPr>
        <w:t>（</w:t>
      </w:r>
      <w:r>
        <w:rPr>
          <w:rFonts w:hint="eastAsia" w:ascii="宋体" w:hAnsi="宋体"/>
          <w:sz w:val="24"/>
          <w:highlight w:val="none"/>
          <w:lang w:val="en-US" w:eastAsia="zh-CN"/>
        </w:rPr>
        <w:t>如有</w:t>
      </w:r>
      <w:r>
        <w:rPr>
          <w:rFonts w:hint="eastAsia" w:ascii="宋体" w:hAnsi="宋体"/>
          <w:sz w:val="24"/>
          <w:highlight w:val="none"/>
          <w:lang w:eastAsia="zh-CN"/>
        </w:rPr>
        <w:t>）</w:t>
      </w:r>
      <w:r>
        <w:rPr>
          <w:rFonts w:hint="eastAsia" w:ascii="宋体" w:hAnsi="宋体"/>
          <w:sz w:val="24"/>
          <w:highlight w:val="none"/>
        </w:rPr>
        <w:t>；</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4.1.6</w:t>
      </w:r>
      <w:r>
        <w:rPr>
          <w:rFonts w:hint="eastAsia" w:ascii="宋体" w:hAnsi="宋体" w:cs="楷体"/>
          <w:sz w:val="24"/>
          <w:highlight w:val="none"/>
        </w:rPr>
        <w:t>法定代表人身份证明文件、法人授权委托书、被委托人的第二代居民身份证复印件加盖投标单位公章。</w:t>
      </w:r>
      <w:r>
        <w:rPr>
          <w:rFonts w:hint="eastAsia" w:ascii="宋体" w:hAnsi="宋体" w:cs="宋体"/>
          <w:color w:val="000000"/>
          <w:kern w:val="0"/>
          <w:sz w:val="24"/>
          <w:highlight w:val="none"/>
        </w:rPr>
        <w:t>（格式详见</w:t>
      </w:r>
      <w:r>
        <w:rPr>
          <w:rFonts w:hint="eastAsia" w:ascii="宋体" w:hAnsi="宋体"/>
          <w:sz w:val="24"/>
          <w:highlight w:val="none"/>
        </w:rPr>
        <w:t>附件四-3、四-4打印且加盖单位公章及法人签字或盖章</w:t>
      </w:r>
      <w:r>
        <w:rPr>
          <w:rFonts w:hint="eastAsia" w:ascii="宋体" w:hAnsi="宋体" w:cs="宋体"/>
          <w:color w:val="000000"/>
          <w:kern w:val="0"/>
          <w:sz w:val="24"/>
          <w:highlight w:val="none"/>
        </w:rPr>
        <w:t>）</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4.1.7注册建造师证书（注册建造师证书相关官方系统平台可以查询的，以系统打印件加盖投标单位公章为准）；</w:t>
      </w:r>
    </w:p>
    <w:p>
      <w:pPr>
        <w:pStyle w:val="45"/>
        <w:spacing w:line="360" w:lineRule="auto"/>
        <w:ind w:firstLine="480" w:firstLineChars="200"/>
        <w:rPr>
          <w:rFonts w:ascii="宋体" w:hAnsi="宋体"/>
          <w:sz w:val="24"/>
          <w:highlight w:val="none"/>
        </w:rPr>
      </w:pPr>
      <w:r>
        <w:rPr>
          <w:rFonts w:hint="eastAsia" w:ascii="宋体" w:hAnsi="宋体"/>
          <w:sz w:val="24"/>
          <w:highlight w:val="none"/>
        </w:rPr>
        <w:t>4.1.8注册建造师安全生产考核合格证（B 类证书）；（注册建造师安全生产考核合格证书相关官方系统平台可以查询的，以系统打印件加盖投标单位公章为准）</w:t>
      </w:r>
    </w:p>
    <w:p>
      <w:pPr>
        <w:pStyle w:val="45"/>
        <w:spacing w:line="360" w:lineRule="auto"/>
        <w:ind w:firstLine="480" w:firstLineChars="200"/>
        <w:rPr>
          <w:rFonts w:ascii="宋体" w:hAnsi="宋体"/>
          <w:color w:val="FF0000"/>
          <w:sz w:val="24"/>
          <w:highlight w:val="none"/>
          <w:u w:val="single"/>
        </w:rPr>
      </w:pPr>
      <w:r>
        <w:rPr>
          <w:rFonts w:hint="eastAsia" w:ascii="宋体" w:hAnsi="宋体"/>
          <w:sz w:val="24"/>
          <w:highlight w:val="none"/>
        </w:rPr>
        <w:t>4.1.9投标人法定代表人的授权委托人、项目负责人必须为本单位人员且在投标时提供202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月至2023年</w:t>
      </w:r>
      <w:r>
        <w:rPr>
          <w:rFonts w:hint="eastAsia" w:ascii="宋体" w:hAnsi="宋体"/>
          <w:sz w:val="24"/>
          <w:highlight w:val="none"/>
          <w:lang w:val="en-US" w:eastAsia="zh-CN"/>
        </w:rPr>
        <w:t>9</w:t>
      </w:r>
      <w:r>
        <w:rPr>
          <w:rFonts w:hint="eastAsia" w:ascii="宋体" w:hAnsi="宋体"/>
          <w:sz w:val="24"/>
          <w:highlight w:val="none"/>
        </w:rPr>
        <w:t>月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r>
        <w:rPr>
          <w:rFonts w:hint="eastAsia" w:ascii="宋体" w:hAnsi="宋体"/>
          <w:b/>
          <w:sz w:val="24"/>
          <w:highlight w:val="none"/>
        </w:rPr>
        <w:t>对无二维码扫描验证的社保证明，需提供社保证明查询验证途径。二维码和查询验证途径应能正常查验，对无法查验的，按无养老保险缴费证明处理。</w:t>
      </w:r>
    </w:p>
    <w:p>
      <w:pPr>
        <w:pStyle w:val="45"/>
        <w:spacing w:line="360" w:lineRule="auto"/>
        <w:ind w:firstLine="480" w:firstLineChars="200"/>
        <w:rPr>
          <w:rFonts w:ascii="宋体" w:hAnsi="宋体"/>
          <w:sz w:val="24"/>
          <w:highlight w:val="none"/>
        </w:rPr>
      </w:pPr>
      <w:r>
        <w:rPr>
          <w:rFonts w:hint="eastAsia" w:ascii="宋体" w:hAnsi="宋体" w:cs="宋体"/>
          <w:color w:val="000000"/>
          <w:sz w:val="24"/>
          <w:highlight w:val="none"/>
        </w:rPr>
        <w:t>4.1.10投标人承诺书原件（格式详见附件四-5）。</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5"/>
        <w:spacing w:line="360" w:lineRule="auto"/>
        <w:ind w:firstLine="480" w:firstLineChars="200"/>
        <w:rPr>
          <w:rFonts w:ascii="宋体" w:hAnsi="宋体"/>
          <w:sz w:val="24"/>
          <w:highlight w:val="none"/>
        </w:rPr>
      </w:pPr>
      <w:r>
        <w:rPr>
          <w:rFonts w:hint="eastAsia" w:ascii="宋体" w:hAnsi="宋体"/>
          <w:sz w:val="24"/>
          <w:highlight w:val="none"/>
        </w:rPr>
        <w:t>4.2.1社保机构出具的缴纳社会基本养老保险的缴纳凭证原件包括以下三种资料其中之一均可：a、社保手册；b、该投标单位经区级以上（含区级）社保出具的缴费清单；c、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投标单位采用社保电子缴费清单的，以相关官方系统平台下载缴费清单，打印并盖章本投标单位公章为准，可不提供原件。</w:t>
      </w:r>
    </w:p>
    <w:p>
      <w:pPr>
        <w:pStyle w:val="45"/>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2</w:t>
      </w:r>
      <w:r>
        <w:rPr>
          <w:rFonts w:hint="eastAsia" w:ascii="宋体" w:hAnsi="宋体"/>
          <w:sz w:val="24"/>
          <w:highlight w:val="none"/>
        </w:rPr>
        <w:t>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5"/>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3</w:t>
      </w:r>
      <w:r>
        <w:rPr>
          <w:rFonts w:hint="eastAsia" w:ascii="宋体" w:hAnsi="宋体"/>
          <w:sz w:val="24"/>
          <w:highlight w:val="none"/>
        </w:rPr>
        <w:t>资格审查资料需提供复印件（一正一副），所有复印件需加盖投标单位公章。未按本条款要求提交的资格审查文件，招标人将拒绝其参加资格审查。</w:t>
      </w:r>
    </w:p>
    <w:p>
      <w:pPr>
        <w:pStyle w:val="45"/>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4</w:t>
      </w:r>
      <w:r>
        <w:rPr>
          <w:rFonts w:hint="eastAsia" w:ascii="宋体" w:hAnsi="宋体"/>
          <w:sz w:val="24"/>
          <w:highlight w:val="none"/>
        </w:rPr>
        <w:t>所有资审资料（包括二份资格审查材料）必须在投标截止时间前一次性递交，投标截止时间后不再接受补充资料。</w:t>
      </w:r>
    </w:p>
    <w:p>
      <w:pPr>
        <w:pStyle w:val="45"/>
        <w:spacing w:line="360" w:lineRule="auto"/>
        <w:ind w:firstLine="480" w:firstLineChars="200"/>
        <w:rPr>
          <w:rFonts w:ascii="宋体" w:hAnsi="宋体"/>
          <w:sz w:val="24"/>
          <w:highlight w:val="none"/>
        </w:rPr>
      </w:pPr>
      <w:r>
        <w:rPr>
          <w:rFonts w:hint="eastAsia" w:ascii="宋体" w:hAnsi="宋体"/>
          <w:sz w:val="24"/>
          <w:highlight w:val="none"/>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5"/>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highlight w:val="none"/>
          <w:lang w:bidi="en-US"/>
        </w:rPr>
      </w:pPr>
      <w:r>
        <w:rPr>
          <w:rFonts w:hint="eastAsia" w:ascii="宋体" w:hAnsi="宋体"/>
          <w:kern w:val="0"/>
          <w:sz w:val="24"/>
          <w:highlight w:val="none"/>
          <w:lang w:bidi="en-US"/>
        </w:rPr>
        <w:t>5.1</w:t>
      </w:r>
      <w:r>
        <w:rPr>
          <w:rFonts w:ascii="宋体" w:hAnsi="宋体"/>
          <w:b/>
          <w:bCs/>
          <w:kern w:val="0"/>
          <w:sz w:val="24"/>
          <w:highlight w:val="none"/>
          <w:lang w:bidi="en-US"/>
        </w:rPr>
        <w:t>开标时间：</w:t>
      </w:r>
      <w:r>
        <w:rPr>
          <w:rFonts w:hint="eastAsia" w:ascii="宋体" w:hAnsi="宋体"/>
          <w:b/>
          <w:kern w:val="0"/>
          <w:sz w:val="24"/>
          <w:highlight w:val="none"/>
          <w:u w:val="single"/>
          <w:lang w:eastAsia="zh-CN" w:bidi="en-US"/>
        </w:rPr>
        <w:t>202</w:t>
      </w:r>
      <w:r>
        <w:rPr>
          <w:rFonts w:hint="eastAsia" w:ascii="宋体" w:hAnsi="宋体"/>
          <w:b/>
          <w:kern w:val="0"/>
          <w:sz w:val="24"/>
          <w:highlight w:val="none"/>
          <w:u w:val="single"/>
          <w:lang w:val="en-US" w:eastAsia="zh-CN" w:bidi="en-US"/>
        </w:rPr>
        <w:t>3</w:t>
      </w:r>
      <w:bookmarkStart w:id="10" w:name="_GoBack"/>
      <w:bookmarkEnd w:id="10"/>
      <w:r>
        <w:rPr>
          <w:rFonts w:hint="eastAsia" w:ascii="宋体" w:hAnsi="宋体"/>
          <w:b/>
          <w:kern w:val="0"/>
          <w:sz w:val="24"/>
          <w:highlight w:val="none"/>
          <w:u w:val="none"/>
          <w:lang w:eastAsia="zh-CN" w:bidi="en-US"/>
        </w:rPr>
        <w:t>年</w:t>
      </w:r>
      <w:r>
        <w:rPr>
          <w:rFonts w:hint="eastAsia" w:ascii="宋体" w:hAnsi="宋体"/>
          <w:b/>
          <w:kern w:val="0"/>
          <w:sz w:val="24"/>
          <w:highlight w:val="none"/>
          <w:u w:val="single"/>
          <w:lang w:val="en-US" w:eastAsia="zh-CN" w:bidi="en-US"/>
        </w:rPr>
        <w:t>11</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3</w:t>
      </w:r>
      <w:r>
        <w:rPr>
          <w:rFonts w:ascii="宋体" w:hAnsi="宋体"/>
          <w:b/>
          <w:kern w:val="0"/>
          <w:sz w:val="24"/>
          <w:highlight w:val="none"/>
          <w:lang w:bidi="en-US"/>
        </w:rPr>
        <w:t>日</w:t>
      </w:r>
      <w:r>
        <w:rPr>
          <w:rFonts w:hint="eastAsia" w:ascii="宋体" w:hAnsi="宋体"/>
          <w:b/>
          <w:kern w:val="0"/>
          <w:sz w:val="24"/>
          <w:highlight w:val="none"/>
          <w:u w:val="single"/>
          <w:lang w:val="en-US" w:eastAsia="zh-CN" w:bidi="en-US"/>
        </w:rPr>
        <w:t>10</w:t>
      </w:r>
      <w:r>
        <w:rPr>
          <w:rFonts w:ascii="宋体" w:hAnsi="宋体"/>
          <w:b/>
          <w:kern w:val="0"/>
          <w:sz w:val="24"/>
          <w:highlight w:val="none"/>
          <w:lang w:bidi="en-US"/>
        </w:rPr>
        <w:t>时</w:t>
      </w:r>
      <w:r>
        <w:rPr>
          <w:rFonts w:hint="eastAsia" w:ascii="宋体" w:hAnsi="宋体"/>
          <w:b/>
          <w:kern w:val="0"/>
          <w:sz w:val="24"/>
          <w:highlight w:val="none"/>
          <w:u w:val="single"/>
          <w:lang w:val="en-US" w:eastAsia="zh-CN" w:bidi="en-US"/>
        </w:rPr>
        <w:t>00</w:t>
      </w:r>
      <w:r>
        <w:rPr>
          <w:rFonts w:hint="eastAsia" w:ascii="宋体" w:hAnsi="宋体"/>
          <w:b/>
          <w:kern w:val="0"/>
          <w:sz w:val="24"/>
          <w:highlight w:val="none"/>
          <w:lang w:bidi="en-US"/>
        </w:rPr>
        <w:t>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10</w:t>
      </w:r>
      <w:r>
        <w:rPr>
          <w:rFonts w:hint="eastAsia" w:ascii="宋体" w:hAnsi="宋体"/>
          <w:kern w:val="0"/>
          <w:sz w:val="24"/>
          <w:highlight w:val="none"/>
          <w:u w:val="single"/>
          <w:lang w:bidi="en-US"/>
        </w:rPr>
        <w:t>:</w:t>
      </w:r>
      <w:r>
        <w:rPr>
          <w:rFonts w:hint="eastAsia" w:ascii="宋体" w:hAnsi="宋体"/>
          <w:kern w:val="0"/>
          <w:sz w:val="24"/>
          <w:highlight w:val="none"/>
          <w:u w:val="single"/>
          <w:lang w:val="en-US" w:eastAsia="zh-CN" w:bidi="en-US"/>
        </w:rPr>
        <w:t>0</w:t>
      </w:r>
      <w:r>
        <w:rPr>
          <w:rFonts w:hint="eastAsia" w:ascii="宋体" w:hAnsi="宋体"/>
          <w:kern w:val="0"/>
          <w:sz w:val="24"/>
          <w:highlight w:val="none"/>
          <w:u w:val="single"/>
          <w:lang w:bidi="en-US"/>
        </w:rPr>
        <w:t>0</w:t>
      </w:r>
      <w:r>
        <w:rPr>
          <w:rFonts w:ascii="宋体" w:hAnsi="宋体"/>
          <w:kern w:val="0"/>
          <w:sz w:val="24"/>
          <w:highlight w:val="none"/>
          <w:lang w:bidi="en-US"/>
        </w:rPr>
        <w:t>未签到，作该投标申请</w:t>
      </w:r>
    </w:p>
    <w:p>
      <w:pPr>
        <w:tabs>
          <w:tab w:val="left" w:pos="120"/>
          <w:tab w:val="left" w:pos="900"/>
          <w:tab w:val="left" w:pos="1080"/>
        </w:tabs>
        <w:spacing w:line="360" w:lineRule="auto"/>
        <w:ind w:right="21"/>
        <w:rPr>
          <w:rFonts w:ascii="宋体" w:hAnsi="宋体"/>
          <w:kern w:val="0"/>
          <w:sz w:val="24"/>
          <w:highlight w:val="none"/>
          <w:lang w:bidi="en-US"/>
        </w:rPr>
      </w:pPr>
      <w:r>
        <w:rPr>
          <w:rFonts w:ascii="宋体" w:hAnsi="宋体"/>
          <w:kern w:val="0"/>
          <w:sz w:val="24"/>
          <w:highlight w:val="none"/>
          <w:lang w:bidi="en-US"/>
        </w:rPr>
        <w:t>人自动放弃处理。）</w:t>
      </w:r>
      <w:r>
        <w:rPr>
          <w:rFonts w:hint="eastAsia" w:ascii="宋体" w:hAnsi="宋体"/>
          <w:kern w:val="0"/>
          <w:sz w:val="24"/>
          <w:highlight w:val="none"/>
          <w:lang w:bidi="en-US"/>
        </w:rPr>
        <w:t>投标人进场投标认真阅读《投标人须知》（</w:t>
      </w:r>
      <w:r>
        <w:rPr>
          <w:rFonts w:hint="eastAsia" w:ascii="宋体" w:hAnsi="宋体"/>
          <w:kern w:val="0"/>
          <w:sz w:val="24"/>
          <w:highlight w:val="none"/>
          <w:lang w:val="en-US" w:eastAsia="zh-CN" w:bidi="en-US"/>
        </w:rPr>
        <w:t>详见招标文件</w:t>
      </w:r>
      <w:r>
        <w:rPr>
          <w:rFonts w:hint="eastAsia" w:ascii="宋体" w:hAnsi="宋体"/>
          <w:kern w:val="0"/>
          <w:sz w:val="24"/>
          <w:highlight w:val="none"/>
          <w:lang w:bidi="en-US"/>
        </w:rPr>
        <w:t>）并参照执行，如因投标人不遵守须知规定造成不能按时进场投标，后果投标人自负。）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hint="eastAsia" w:ascii="宋体" w:hAnsi="宋体" w:eastAsia="宋体"/>
          <w:kern w:val="0"/>
          <w:sz w:val="24"/>
          <w:highlight w:val="none"/>
          <w:lang w:eastAsia="zh-CN" w:bidi="en-US"/>
        </w:rPr>
      </w:pPr>
      <w:r>
        <w:rPr>
          <w:rFonts w:hint="eastAsia" w:ascii="宋体" w:hAnsi="宋体"/>
          <w:kern w:val="0"/>
          <w:sz w:val="24"/>
          <w:highlight w:val="none"/>
          <w:lang w:bidi="en-US"/>
        </w:rPr>
        <w:t>5.2</w:t>
      </w:r>
      <w:r>
        <w:rPr>
          <w:rFonts w:hint="eastAsia" w:ascii="宋体" w:hAnsi="宋体"/>
          <w:b/>
          <w:bCs/>
          <w:kern w:val="0"/>
          <w:sz w:val="24"/>
          <w:highlight w:val="none"/>
          <w:lang w:bidi="en-US"/>
        </w:rPr>
        <w:t>开标地点：</w:t>
      </w:r>
      <w:r>
        <w:rPr>
          <w:rFonts w:hint="eastAsia" w:ascii="宋体" w:hAnsi="宋体"/>
          <w:kern w:val="0"/>
          <w:sz w:val="24"/>
          <w:highlight w:val="none"/>
          <w:u w:val="single"/>
          <w:lang w:eastAsia="zh-CN" w:bidi="en-US"/>
        </w:rPr>
        <w:t>常州润邦招标</w:t>
      </w:r>
      <w:r>
        <w:rPr>
          <w:rFonts w:hint="eastAsia" w:ascii="宋体" w:hAnsi="宋体"/>
          <w:kern w:val="0"/>
          <w:sz w:val="24"/>
          <w:highlight w:val="none"/>
          <w:u w:val="single"/>
          <w:lang w:val="en-US" w:eastAsia="zh-CN" w:bidi="en-US"/>
        </w:rPr>
        <w:t>代理有限公司</w:t>
      </w:r>
      <w:r>
        <w:rPr>
          <w:rFonts w:hint="eastAsia" w:ascii="宋体" w:hAnsi="宋体"/>
          <w:kern w:val="0"/>
          <w:sz w:val="24"/>
          <w:highlight w:val="none"/>
          <w:u w:val="single"/>
          <w:lang w:bidi="en-US"/>
        </w:rPr>
        <w:t>开标室</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六、备注：</w:t>
      </w:r>
    </w:p>
    <w:p>
      <w:pPr>
        <w:pStyle w:val="45"/>
        <w:spacing w:line="360" w:lineRule="auto"/>
        <w:ind w:firstLine="480" w:firstLineChars="200"/>
        <w:rPr>
          <w:rFonts w:ascii="宋体" w:hAnsi="宋体"/>
          <w:sz w:val="24"/>
          <w:highlight w:val="none"/>
        </w:rPr>
      </w:pPr>
      <w:r>
        <w:rPr>
          <w:rFonts w:hint="eastAsia" w:ascii="宋体" w:hAnsi="宋体"/>
          <w:sz w:val="24"/>
          <w:highlight w:val="none"/>
        </w:rPr>
        <w:t>6.1本工程不满3家单位投标（若第一次招标）将重新组织招标。</w:t>
      </w:r>
    </w:p>
    <w:p>
      <w:pPr>
        <w:pStyle w:val="45"/>
        <w:spacing w:line="360" w:lineRule="auto"/>
        <w:ind w:firstLine="480" w:firstLineChars="200"/>
        <w:rPr>
          <w:rFonts w:ascii="宋体" w:hAnsi="宋体"/>
          <w:sz w:val="24"/>
          <w:highlight w:val="none"/>
        </w:rPr>
      </w:pPr>
      <w:r>
        <w:rPr>
          <w:rFonts w:hint="eastAsia" w:ascii="宋体" w:hAnsi="宋体"/>
          <w:sz w:val="24"/>
          <w:highlight w:val="none"/>
        </w:rPr>
        <w:t>6.2本工程图纸由</w:t>
      </w:r>
      <w:r>
        <w:rPr>
          <w:rFonts w:hint="eastAsia" w:ascii="宋体" w:hAnsi="宋体"/>
          <w:sz w:val="24"/>
          <w:highlight w:val="none"/>
          <w:u w:val="single"/>
        </w:rPr>
        <w:t xml:space="preserve"> / </w:t>
      </w:r>
      <w:r>
        <w:rPr>
          <w:rFonts w:hint="eastAsia" w:ascii="宋体" w:hAnsi="宋体"/>
          <w:sz w:val="24"/>
          <w:highlight w:val="none"/>
        </w:rPr>
        <w:t>设计，设计单位不得参与本项目投标。</w:t>
      </w:r>
    </w:p>
    <w:p>
      <w:pPr>
        <w:pStyle w:val="45"/>
        <w:spacing w:line="360" w:lineRule="auto"/>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.3</w:t>
      </w:r>
      <w:r>
        <w:rPr>
          <w:rFonts w:hint="eastAsia" w:ascii="宋体" w:hAnsi="宋体" w:cs="宋体"/>
          <w:b/>
          <w:kern w:val="0"/>
          <w:sz w:val="24"/>
          <w:highlight w:val="none"/>
          <w:lang w:bidi="en-US"/>
        </w:rPr>
        <w:t>投标单位务必注意</w:t>
      </w:r>
      <w:r>
        <w:rPr>
          <w:rFonts w:ascii="宋体" w:hAnsi="宋体" w:cs="宋体"/>
          <w:b/>
          <w:kern w:val="0"/>
          <w:sz w:val="24"/>
          <w:highlight w:val="none"/>
          <w:lang w:bidi="en-US"/>
        </w:rPr>
        <w:t>本工程所有的资审资料，都必须在有效期内</w:t>
      </w:r>
      <w:r>
        <w:rPr>
          <w:rFonts w:hint="eastAsia" w:ascii="宋体" w:hAnsi="宋体" w:cs="宋体"/>
          <w:b/>
          <w:kern w:val="0"/>
          <w:sz w:val="24"/>
          <w:highlight w:val="none"/>
          <w:lang w:bidi="en-US"/>
        </w:rPr>
        <w:t>.切勿使用换证后已作废证件。</w:t>
      </w:r>
      <w:r>
        <w:rPr>
          <w:rFonts w:ascii="宋体" w:hAnsi="宋体" w:cs="宋体"/>
          <w:b/>
          <w:kern w:val="0"/>
          <w:sz w:val="24"/>
          <w:highlight w:val="none"/>
          <w:lang w:bidi="en-US"/>
        </w:rPr>
        <w:t>如有关的资审资料在年审中的，开标时必须出具发证单位证明的原件，企业资质到期未延续的，开标时提供证明资质证书有效的省级部门发布的延续公告文件。投标单位务必注意。</w:t>
      </w:r>
    </w:p>
    <w:p>
      <w:pPr>
        <w:rPr>
          <w:rFonts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jc w:val="center"/>
        <w:rPr>
          <w:rFonts w:ascii="宋体" w:hAnsi="宋体" w:cs="宋体"/>
          <w:b/>
          <w:sz w:val="32"/>
          <w:szCs w:val="32"/>
          <w:highlight w:val="none"/>
        </w:rPr>
      </w:pPr>
      <w:r>
        <w:rPr>
          <w:rFonts w:hint="eastAsia" w:ascii="宋体" w:hAnsi="宋体" w:cs="宋体"/>
          <w:b/>
          <w:sz w:val="32"/>
          <w:szCs w:val="32"/>
          <w:highlight w:val="none"/>
        </w:rPr>
        <w:t>评标入围方法</w:t>
      </w:r>
    </w:p>
    <w:p>
      <w:pPr>
        <w:tabs>
          <w:tab w:val="left" w:pos="0"/>
        </w:tabs>
        <w:adjustRightInd w:val="0"/>
        <w:snapToGrid w:val="0"/>
        <w:spacing w:line="360" w:lineRule="auto"/>
        <w:ind w:firstLine="424" w:firstLineChars="202"/>
        <w:rPr>
          <w:rFonts w:ascii="宋体" w:hAnsi="宋体" w:cs="宋体"/>
          <w:highlight w:val="none"/>
        </w:rPr>
      </w:pPr>
    </w:p>
    <w:p>
      <w:pPr>
        <w:shd w:val="clear" w:color="auto"/>
        <w:tabs>
          <w:tab w:val="left" w:pos="0"/>
        </w:tabs>
        <w:adjustRightInd w:val="0"/>
        <w:snapToGrid w:val="0"/>
        <w:spacing w:line="360" w:lineRule="auto"/>
        <w:ind w:firstLine="487" w:firstLineChars="202"/>
        <w:rPr>
          <w:rFonts w:ascii="宋体" w:hAnsi="宋体" w:cs="宋体"/>
          <w:color w:val="FF0000"/>
          <w:sz w:val="24"/>
          <w:highlight w:val="none"/>
        </w:rPr>
      </w:pPr>
      <w:r>
        <w:rPr>
          <w:rFonts w:hint="eastAsia" w:ascii="宋体" w:hAnsi="宋体" w:cs="宋体"/>
          <w:b/>
          <w:sz w:val="24"/>
          <w:highlight w:val="none"/>
        </w:rPr>
        <w:t>评标入围方法：方法一</w:t>
      </w:r>
    </w:p>
    <w:p>
      <w:pPr>
        <w:shd w:val="clear" w:color="auto"/>
        <w:tabs>
          <w:tab w:val="left" w:pos="0"/>
        </w:tabs>
        <w:adjustRightInd w:val="0"/>
        <w:snapToGrid w:val="0"/>
        <w:spacing w:line="360" w:lineRule="auto"/>
        <w:ind w:firstLine="487" w:firstLineChars="202"/>
        <w:rPr>
          <w:rFonts w:ascii="宋体" w:hAnsi="宋体" w:cs="宋体"/>
          <w:b/>
          <w:sz w:val="24"/>
          <w:highlight w:val="none"/>
        </w:rPr>
      </w:pPr>
      <w:r>
        <w:rPr>
          <w:rFonts w:hint="eastAsia" w:ascii="宋体" w:hAnsi="宋体" w:cs="宋体"/>
          <w:b/>
          <w:sz w:val="24"/>
          <w:highlight w:val="none"/>
        </w:rPr>
        <w:t>方法一：全部入围。</w:t>
      </w:r>
    </w:p>
    <w:p>
      <w:pPr>
        <w:shd w:val="clear" w:color="auto"/>
        <w:tabs>
          <w:tab w:val="left" w:pos="0"/>
        </w:tabs>
        <w:adjustRightInd w:val="0"/>
        <w:snapToGrid w:val="0"/>
        <w:spacing w:line="360" w:lineRule="auto"/>
        <w:ind w:firstLine="484" w:firstLineChars="202"/>
        <w:rPr>
          <w:rFonts w:ascii="宋体" w:hAnsi="宋体" w:cs="宋体"/>
          <w:sz w:val="24"/>
          <w:highlight w:val="none"/>
        </w:rPr>
      </w:pPr>
      <w:r>
        <w:rPr>
          <w:rFonts w:hint="eastAsia" w:ascii="宋体" w:hAnsi="宋体" w:cs="宋体"/>
          <w:sz w:val="24"/>
          <w:highlight w:val="none"/>
        </w:rPr>
        <w:t>进入评标入围环节的投标人全部进入后续评标程序。</w:t>
      </w:r>
    </w:p>
    <w:p>
      <w:pPr>
        <w:tabs>
          <w:tab w:val="left" w:pos="0"/>
        </w:tabs>
        <w:adjustRightInd w:val="0"/>
        <w:snapToGrid w:val="0"/>
        <w:spacing w:line="360" w:lineRule="auto"/>
        <w:ind w:firstLine="487" w:firstLineChars="202"/>
        <w:rPr>
          <w:rFonts w:ascii="宋体" w:hAnsi="宋体" w:cs="宋体"/>
          <w:sz w:val="24"/>
          <w:highlight w:val="none"/>
        </w:rPr>
      </w:pPr>
      <w:r>
        <w:rPr>
          <w:rFonts w:hint="eastAsia" w:ascii="宋体" w:hAnsi="宋体" w:cs="宋体"/>
          <w:b/>
          <w:sz w:val="24"/>
          <w:highlight w:val="none"/>
        </w:rPr>
        <w:t>方法二：低价排序法。</w:t>
      </w:r>
      <w:r>
        <w:rPr>
          <w:rFonts w:hint="eastAsia" w:ascii="宋体" w:hAnsi="宋体" w:cs="宋体"/>
          <w:sz w:val="24"/>
          <w:highlight w:val="none"/>
        </w:rPr>
        <w:t>先按报价由低到高去除进入评标入围环节的投标人数量*10%（去尾取整）的最低报价的投标人（末位投标报价相同的均去除），再按报价由低到高取不少于R家（R一般不少于15家，具体数量在招标文件中明确）投标人进入后续评标程序。投标报价相同的，同时入围；不足R家时，按实际数量计取。</w:t>
      </w:r>
    </w:p>
    <w:p>
      <w:pPr>
        <w:tabs>
          <w:tab w:val="left" w:pos="0"/>
        </w:tabs>
        <w:adjustRightInd w:val="0"/>
        <w:snapToGrid w:val="0"/>
        <w:spacing w:line="360" w:lineRule="auto"/>
        <w:ind w:firstLine="487" w:firstLineChars="202"/>
        <w:rPr>
          <w:rFonts w:ascii="宋体" w:hAnsi="宋体" w:cs="宋体"/>
          <w:sz w:val="24"/>
          <w:highlight w:val="none"/>
        </w:rPr>
      </w:pPr>
      <w:r>
        <w:rPr>
          <w:rFonts w:hint="eastAsia" w:ascii="宋体" w:hAnsi="宋体" w:cs="宋体"/>
          <w:b/>
          <w:sz w:val="24"/>
          <w:highlight w:val="none"/>
        </w:rPr>
        <w:t>方法三：均值入围法。</w:t>
      </w:r>
      <w:r>
        <w:rPr>
          <w:rFonts w:hint="eastAsia" w:ascii="宋体" w:hAnsi="宋体" w:cs="宋体"/>
          <w:sz w:val="24"/>
          <w:highlight w:val="none"/>
        </w:rPr>
        <w:t>先按报价由高到低去除进入评标入围环节的投标人数量*10%（去尾取整）的最高报价的投标人后（末位投标报价相同的均去除），计算剩余投标人的报价平均值，取平均值以上和以下若干家投标人进入后续评标程序。</w:t>
      </w:r>
    </w:p>
    <w:p>
      <w:pPr>
        <w:tabs>
          <w:tab w:val="left" w:pos="0"/>
        </w:tabs>
        <w:adjustRightInd w:val="0"/>
        <w:snapToGrid w:val="0"/>
        <w:spacing w:line="360" w:lineRule="auto"/>
        <w:ind w:firstLine="484" w:firstLineChars="202"/>
        <w:rPr>
          <w:rFonts w:ascii="宋体" w:hAnsi="宋体" w:cs="宋体"/>
          <w:sz w:val="24"/>
          <w:highlight w:val="none"/>
        </w:rPr>
      </w:pPr>
      <w:r>
        <w:rPr>
          <w:rFonts w:hint="eastAsia" w:ascii="宋体" w:hAnsi="宋体" w:cs="宋体"/>
          <w:sz w:val="24"/>
          <w:highlight w:val="none"/>
        </w:rPr>
        <w:t>招标文件中应明确取平均值以上的具体数量和以下的具体数量，平均值以下投标人应多于取平均值以上的投标人，合计数量不少于R家（R一般不少于15家，具体数量在招标文件中明确）。评标入围过程中，当投标人平均值以上（或以下）的数量不足时按实际数量计取，但不因此增加平均值以下（或以上）的数量。按顺序取平均值以上的投标人时，报价相同的投标人均不入围；按顺序取平均值以下的投标人时，报价相同的投标人同时入围。</w:t>
      </w:r>
    </w:p>
    <w:p>
      <w:pPr>
        <w:tabs>
          <w:tab w:val="left" w:pos="0"/>
        </w:tabs>
        <w:adjustRightInd w:val="0"/>
        <w:snapToGrid w:val="0"/>
        <w:spacing w:line="360" w:lineRule="auto"/>
        <w:ind w:firstLine="487" w:firstLineChars="202"/>
        <w:rPr>
          <w:rFonts w:ascii="宋体" w:hAnsi="宋体" w:cs="宋体"/>
          <w:sz w:val="24"/>
          <w:highlight w:val="none"/>
        </w:rPr>
      </w:pPr>
      <w:r>
        <w:rPr>
          <w:rFonts w:hint="eastAsia" w:ascii="宋体" w:hAnsi="宋体" w:cs="宋体"/>
          <w:b/>
          <w:sz w:val="24"/>
          <w:highlight w:val="none"/>
        </w:rPr>
        <w:t>方法四：随机抽签入围。</w:t>
      </w:r>
      <w:r>
        <w:rPr>
          <w:rFonts w:hint="eastAsia" w:ascii="宋体" w:hAnsi="宋体" w:cs="宋体"/>
          <w:sz w:val="24"/>
          <w:highlight w:val="none"/>
        </w:rPr>
        <w:t>如至投标截止时间，参与投标的投标单位≥20家，则采用随机抽签法入围15家进入后继评审。</w:t>
      </w:r>
    </w:p>
    <w:p>
      <w:pPr>
        <w:spacing w:line="240" w:lineRule="atLeast"/>
        <w:jc w:val="center"/>
        <w:rPr>
          <w:b/>
          <w:color w:val="000000"/>
          <w:sz w:val="44"/>
          <w:szCs w:val="44"/>
          <w:highlight w:val="none"/>
        </w:rPr>
      </w:pPr>
    </w:p>
    <w:p>
      <w:pPr>
        <w:spacing w:line="240" w:lineRule="atLeast"/>
        <w:jc w:val="center"/>
        <w:rPr>
          <w:b/>
          <w:color w:val="000000"/>
          <w:sz w:val="44"/>
          <w:szCs w:val="44"/>
          <w:highlight w:val="none"/>
        </w:rPr>
      </w:pPr>
    </w:p>
    <w:p>
      <w:pPr>
        <w:spacing w:line="240" w:lineRule="atLeast"/>
        <w:jc w:val="center"/>
        <w:rPr>
          <w:b/>
          <w:color w:val="000000"/>
          <w:sz w:val="44"/>
          <w:szCs w:val="44"/>
          <w:highlight w:val="none"/>
        </w:rPr>
      </w:pPr>
    </w:p>
    <w:p>
      <w:pPr>
        <w:spacing w:line="240" w:lineRule="atLeast"/>
        <w:jc w:val="center"/>
        <w:rPr>
          <w:b/>
          <w:color w:val="000000"/>
          <w:sz w:val="44"/>
          <w:szCs w:val="44"/>
          <w:highlight w:val="none"/>
        </w:rPr>
      </w:pPr>
    </w:p>
    <w:p>
      <w:pPr>
        <w:spacing w:line="240" w:lineRule="atLeast"/>
        <w:jc w:val="center"/>
        <w:rPr>
          <w:b/>
          <w:color w:val="000000"/>
          <w:sz w:val="44"/>
          <w:szCs w:val="44"/>
          <w:highlight w:val="none"/>
        </w:rPr>
      </w:pPr>
    </w:p>
    <w:p>
      <w:pPr>
        <w:spacing w:line="240" w:lineRule="atLeast"/>
        <w:jc w:val="center"/>
        <w:rPr>
          <w:b/>
          <w:color w:val="000000"/>
          <w:sz w:val="44"/>
          <w:szCs w:val="44"/>
          <w:highlight w:val="none"/>
        </w:rPr>
      </w:pPr>
    </w:p>
    <w:p>
      <w:pPr>
        <w:spacing w:line="240" w:lineRule="atLeast"/>
        <w:jc w:val="center"/>
        <w:rPr>
          <w:b/>
          <w:color w:val="000000"/>
          <w:sz w:val="44"/>
          <w:szCs w:val="44"/>
          <w:highlight w:val="none"/>
        </w:rPr>
      </w:pPr>
      <w:r>
        <w:rPr>
          <w:b/>
          <w:color w:val="000000"/>
          <w:sz w:val="44"/>
          <w:szCs w:val="44"/>
          <w:highlight w:val="none"/>
        </w:rPr>
        <w:t>评标细则</w:t>
      </w:r>
    </w:p>
    <w:p>
      <w:pPr>
        <w:widowControl/>
        <w:spacing w:line="360" w:lineRule="auto"/>
        <w:ind w:firstLine="480" w:firstLineChars="200"/>
        <w:jc w:val="left"/>
        <w:rPr>
          <w:rFonts w:ascii="宋体" w:hAnsi="宋体"/>
          <w:color w:val="000000"/>
          <w:kern w:val="0"/>
          <w:sz w:val="24"/>
          <w:highlight w:val="none"/>
        </w:rPr>
      </w:pPr>
      <w:r>
        <w:rPr>
          <w:rFonts w:hint="eastAsia" w:ascii="宋体" w:hAnsi="宋体"/>
          <w:bCs/>
          <w:color w:val="000000"/>
          <w:kern w:val="0"/>
          <w:sz w:val="24"/>
          <w:highlight w:val="none"/>
          <w:lang w:bidi="en-US"/>
        </w:rPr>
        <w:t>本工程只对经过评审确定为有效标书的投标文件进入评审，采用合理低价法</w:t>
      </w:r>
      <w:r>
        <w:rPr>
          <w:rFonts w:hint="eastAsia" w:ascii="宋体" w:hAnsi="宋体"/>
          <w:color w:val="000000"/>
          <w:kern w:val="0"/>
          <w:sz w:val="24"/>
          <w:highlight w:val="none"/>
          <w:lang w:bidi="en-US"/>
        </w:rPr>
        <w:t>评标</w:t>
      </w:r>
      <w:r>
        <w:rPr>
          <w:rFonts w:hint="eastAsia" w:ascii="宋体" w:hAnsi="宋体"/>
          <w:bCs/>
          <w:color w:val="000000"/>
          <w:kern w:val="0"/>
          <w:sz w:val="24"/>
          <w:highlight w:val="none"/>
          <w:lang w:bidi="en-US"/>
        </w:rPr>
        <w:t>，以综合得分最高且能满足招标文件实质性要求的投标单位为中标单位</w:t>
      </w:r>
      <w:r>
        <w:rPr>
          <w:rFonts w:hint="eastAsia" w:ascii="宋体" w:hAnsi="宋体"/>
          <w:color w:val="000000"/>
          <w:kern w:val="0"/>
          <w:sz w:val="24"/>
          <w:highlight w:val="none"/>
        </w:rPr>
        <w:t>：</w:t>
      </w:r>
    </w:p>
    <w:p>
      <w:pPr>
        <w:widowControl/>
        <w:spacing w:line="360" w:lineRule="auto"/>
        <w:ind w:firstLine="200"/>
        <w:jc w:val="left"/>
        <w:rPr>
          <w:rFonts w:ascii="宋体" w:hAnsi="宋体"/>
          <w:b/>
          <w:kern w:val="0"/>
          <w:sz w:val="24"/>
          <w:highlight w:val="none"/>
          <w:lang w:bidi="en-US"/>
        </w:rPr>
      </w:pPr>
      <w:r>
        <w:rPr>
          <w:rFonts w:hint="eastAsia" w:ascii="宋体" w:hAnsi="宋体"/>
          <w:b/>
          <w:kern w:val="0"/>
          <w:sz w:val="24"/>
          <w:highlight w:val="none"/>
          <w:lang w:bidi="en-US"/>
        </w:rPr>
        <w:t>1、招标控制价的确定</w:t>
      </w:r>
    </w:p>
    <w:p>
      <w:pPr>
        <w:widowControl/>
        <w:spacing w:line="360" w:lineRule="auto"/>
        <w:ind w:firstLine="480" w:firstLineChars="200"/>
        <w:jc w:val="left"/>
        <w:rPr>
          <w:rFonts w:ascii="宋体" w:hAnsi="宋体"/>
          <w:bCs/>
          <w:color w:val="000000"/>
          <w:kern w:val="0"/>
          <w:sz w:val="24"/>
          <w:highlight w:val="none"/>
          <w:lang w:bidi="en-US"/>
        </w:rPr>
      </w:pPr>
      <w:r>
        <w:rPr>
          <w:rFonts w:hint="eastAsia" w:ascii="宋体" w:hAnsi="宋体"/>
          <w:bCs/>
          <w:color w:val="000000"/>
          <w:kern w:val="0"/>
          <w:sz w:val="24"/>
          <w:highlight w:val="none"/>
          <w:lang w:bidi="en-US"/>
        </w:rPr>
        <w:t>招标单位按照招标文件编制的招标控制价，在投标截止日3天以前予以公布，并由投标单位校核。投标单位的投标报价超过招标控制价时按无效标处理。</w:t>
      </w:r>
    </w:p>
    <w:p>
      <w:pPr>
        <w:widowControl/>
        <w:shd w:val="clear"/>
        <w:spacing w:line="360" w:lineRule="auto"/>
        <w:ind w:firstLine="200"/>
        <w:jc w:val="left"/>
        <w:rPr>
          <w:rFonts w:ascii="宋体" w:hAnsi="宋体"/>
          <w:b/>
          <w:kern w:val="0"/>
          <w:sz w:val="24"/>
          <w:highlight w:val="none"/>
          <w:lang w:bidi="en-US"/>
        </w:rPr>
      </w:pPr>
      <w:r>
        <w:rPr>
          <w:rFonts w:hint="eastAsia" w:ascii="宋体" w:hAnsi="宋体"/>
          <w:b/>
          <w:kern w:val="0"/>
          <w:sz w:val="24"/>
          <w:highlight w:val="none"/>
          <w:lang w:bidi="en-US"/>
        </w:rPr>
        <w:t>2、评标基准价的确定</w:t>
      </w:r>
    </w:p>
    <w:p>
      <w:pPr>
        <w:widowControl/>
        <w:shd w:val="clear" w:color="auto"/>
        <w:spacing w:line="360" w:lineRule="auto"/>
        <w:ind w:firstLine="482" w:firstLineChars="200"/>
        <w:rPr>
          <w:rFonts w:ascii="宋体" w:hAnsi="宋体"/>
          <w:b/>
          <w:kern w:val="0"/>
          <w:sz w:val="24"/>
          <w:highlight w:val="none"/>
          <w:lang w:bidi="en-US"/>
        </w:rPr>
      </w:pPr>
      <w:r>
        <w:rPr>
          <w:rFonts w:hint="eastAsia" w:ascii="宋体" w:hAnsi="宋体"/>
          <w:b/>
          <w:bCs/>
          <w:sz w:val="24"/>
          <w:highlight w:val="none"/>
        </w:rPr>
        <w:t>开标时由招标人按以下方法随机抽取一种方法(“方法一”或“方法二”)作为投标报价的评审标准。</w:t>
      </w:r>
    </w:p>
    <w:p>
      <w:pPr>
        <w:widowControl/>
        <w:shd w:val="clear"/>
        <w:spacing w:line="360" w:lineRule="auto"/>
        <w:jc w:val="left"/>
        <w:rPr>
          <w:rFonts w:ascii="宋体" w:hAnsi="宋体"/>
          <w:kern w:val="0"/>
          <w:sz w:val="24"/>
          <w:highlight w:val="none"/>
          <w:lang w:bidi="en-US"/>
        </w:rPr>
      </w:pPr>
      <w:r>
        <w:rPr>
          <w:rFonts w:hint="eastAsia" w:ascii="宋体" w:hAnsi="宋体"/>
          <w:b/>
          <w:kern w:val="0"/>
          <w:sz w:val="24"/>
          <w:highlight w:val="none"/>
          <w:lang w:bidi="en-US"/>
        </w:rPr>
        <w:t>方法一：</w:t>
      </w:r>
      <w:r>
        <w:rPr>
          <w:rFonts w:hint="eastAsia" w:ascii="宋体" w:hAnsi="宋体"/>
          <w:kern w:val="0"/>
          <w:sz w:val="24"/>
          <w:highlight w:val="none"/>
          <w:lang w:bidi="en-US"/>
        </w:rPr>
        <w:t>设低于招标控制价的所有投标人的投标报价的算数平均值为A（若有效投标文件为7家以下时所有投标人的投标报价全部参与合成算数平均值A；若有效投标文件为7家或7家以上时，去掉其中的一个最高投标报价和一个最低投标报价后取算术平均值为A；若有效投标文件为10家或10家以上时，去掉其中的两个最高投标报价和两个最低投标报价后取算术平均值为A。）。</w:t>
      </w:r>
    </w:p>
    <w:p>
      <w:pPr>
        <w:widowControl/>
        <w:spacing w:line="360" w:lineRule="auto"/>
        <w:ind w:left="120" w:leftChars="57" w:firstLine="360" w:firstLineChars="150"/>
        <w:jc w:val="left"/>
        <w:rPr>
          <w:rFonts w:ascii="宋体" w:hAnsi="宋体"/>
          <w:kern w:val="0"/>
          <w:sz w:val="24"/>
          <w:highlight w:val="none"/>
          <w:lang w:bidi="en-US"/>
        </w:rPr>
      </w:pPr>
      <w:r>
        <w:rPr>
          <w:rFonts w:hint="eastAsia" w:ascii="宋体" w:hAnsi="宋体"/>
          <w:kern w:val="0"/>
          <w:sz w:val="24"/>
          <w:highlight w:val="none"/>
          <w:lang w:bidi="en-US"/>
        </w:rPr>
        <w:t>评标基准价C=A×K，其中K值在开标时由招标人抽取确定K值，</w:t>
      </w:r>
    </w:p>
    <w:p>
      <w:pPr>
        <w:widowControl/>
        <w:spacing w:line="360" w:lineRule="auto"/>
        <w:ind w:left="120" w:leftChars="57" w:firstLine="360" w:firstLineChars="150"/>
        <w:jc w:val="left"/>
        <w:rPr>
          <w:rFonts w:ascii="宋体" w:hAnsi="宋体"/>
          <w:kern w:val="0"/>
          <w:sz w:val="24"/>
          <w:highlight w:val="none"/>
          <w:lang w:bidi="en-US"/>
        </w:rPr>
      </w:pPr>
      <w:r>
        <w:rPr>
          <w:rFonts w:hint="eastAsia" w:ascii="宋体" w:hAnsi="宋体"/>
          <w:kern w:val="0"/>
          <w:sz w:val="24"/>
          <w:highlight w:val="none"/>
          <w:lang w:bidi="en-US"/>
        </w:rPr>
        <w:t>取值范围为95%、95.5%、96%、96.5%、97%、97.5%、98%。</w:t>
      </w:r>
    </w:p>
    <w:p>
      <w:pPr>
        <w:widowControl/>
        <w:spacing w:line="360" w:lineRule="auto"/>
        <w:ind w:firstLine="480" w:firstLineChars="200"/>
        <w:jc w:val="left"/>
        <w:rPr>
          <w:rFonts w:ascii="宋体" w:hAnsi="宋体"/>
          <w:kern w:val="0"/>
          <w:sz w:val="24"/>
          <w:highlight w:val="none"/>
          <w:lang w:bidi="en-US"/>
        </w:rPr>
      </w:pPr>
      <w:r>
        <w:rPr>
          <w:rFonts w:hint="eastAsia" w:ascii="宋体" w:hAnsi="宋体"/>
          <w:kern w:val="0"/>
          <w:sz w:val="24"/>
          <w:highlight w:val="none"/>
          <w:lang w:bidi="en-US"/>
        </w:rPr>
        <w:t>C值一经确定，在后续的评审中出现的任何情形都将不改变C值的结果。</w:t>
      </w:r>
    </w:p>
    <w:p>
      <w:pPr>
        <w:widowControl/>
        <w:spacing w:line="360" w:lineRule="auto"/>
        <w:jc w:val="left"/>
        <w:rPr>
          <w:rFonts w:ascii="宋体" w:hAnsi="宋体"/>
          <w:kern w:val="0"/>
          <w:sz w:val="24"/>
          <w:highlight w:val="none"/>
          <w:lang w:bidi="en-US"/>
        </w:rPr>
      </w:pPr>
      <w:r>
        <w:rPr>
          <w:rFonts w:hint="eastAsia" w:ascii="宋体" w:hAnsi="宋体"/>
          <w:b/>
          <w:kern w:val="0"/>
          <w:sz w:val="24"/>
          <w:highlight w:val="none"/>
          <w:lang w:bidi="en-US"/>
        </w:rPr>
        <w:t>方法二：</w:t>
      </w:r>
      <w:r>
        <w:rPr>
          <w:rFonts w:hint="eastAsia" w:ascii="宋体" w:hAnsi="宋体"/>
          <w:kern w:val="0"/>
          <w:sz w:val="24"/>
          <w:highlight w:val="none"/>
          <w:lang w:bidi="en-US"/>
        </w:rPr>
        <w:t>以次低价作为评标基准价</w:t>
      </w:r>
    </w:p>
    <w:p>
      <w:pPr>
        <w:widowControl/>
        <w:spacing w:line="360" w:lineRule="auto"/>
        <w:jc w:val="left"/>
        <w:rPr>
          <w:rFonts w:ascii="宋体" w:hAnsi="宋体"/>
          <w:b/>
          <w:kern w:val="0"/>
          <w:sz w:val="24"/>
          <w:highlight w:val="none"/>
          <w:lang w:bidi="en-US"/>
        </w:rPr>
      </w:pPr>
      <w:r>
        <w:rPr>
          <w:rFonts w:hint="eastAsia" w:ascii="宋体" w:hAnsi="宋体"/>
          <w:b/>
          <w:kern w:val="0"/>
          <w:sz w:val="24"/>
          <w:highlight w:val="none"/>
          <w:lang w:bidi="en-US"/>
        </w:rPr>
        <w:t>3、计算投标误差率</w:t>
      </w:r>
    </w:p>
    <w:p>
      <w:pPr>
        <w:widowControl/>
        <w:spacing w:line="360" w:lineRule="auto"/>
        <w:ind w:firstLine="480" w:firstLineChars="200"/>
        <w:jc w:val="left"/>
        <w:rPr>
          <w:rFonts w:ascii="宋体" w:hAnsi="宋体"/>
          <w:kern w:val="0"/>
          <w:sz w:val="24"/>
          <w:highlight w:val="none"/>
          <w:shd w:val="clear"/>
          <w:lang w:bidi="en-US"/>
        </w:rPr>
      </w:pPr>
      <w:r>
        <w:rPr>
          <w:rFonts w:hint="eastAsia" w:ascii="宋体" w:hAnsi="宋体"/>
          <w:kern w:val="0"/>
          <w:sz w:val="24"/>
          <w:highlight w:val="none"/>
          <w:lang w:bidi="en-US"/>
        </w:rPr>
        <w:t>投标误差率＝（投标人投标报价－评标基准价）/评标基准价*100%</w:t>
      </w:r>
      <w:r>
        <w:rPr>
          <w:rFonts w:hint="eastAsia" w:ascii="宋体" w:hAnsi="宋体"/>
          <w:kern w:val="0"/>
          <w:sz w:val="24"/>
          <w:highlight w:val="none"/>
          <w:shd w:val="clear"/>
          <w:lang w:bidi="en-US"/>
        </w:rPr>
        <w:t>（</w:t>
      </w:r>
      <w:r>
        <w:rPr>
          <w:rFonts w:hint="eastAsia" w:ascii="宋体" w:hAnsi="宋体"/>
          <w:kern w:val="0"/>
          <w:sz w:val="24"/>
          <w:highlight w:val="none"/>
          <w:shd w:val="clear"/>
          <w:lang w:val="en-US" w:eastAsia="zh-CN" w:bidi="en-US"/>
        </w:rPr>
        <w:t>四舍五入</w:t>
      </w:r>
      <w:r>
        <w:rPr>
          <w:rFonts w:hint="eastAsia" w:ascii="宋体" w:hAnsi="宋体"/>
          <w:kern w:val="0"/>
          <w:sz w:val="24"/>
          <w:highlight w:val="none"/>
          <w:shd w:val="clear"/>
          <w:lang w:bidi="en-US"/>
        </w:rPr>
        <w:t>取百分数小数点后2位）。</w:t>
      </w:r>
    </w:p>
    <w:p>
      <w:pPr>
        <w:widowControl/>
        <w:spacing w:line="360" w:lineRule="auto"/>
        <w:jc w:val="left"/>
        <w:rPr>
          <w:rFonts w:ascii="宋体" w:hAnsi="宋体"/>
          <w:b/>
          <w:kern w:val="0"/>
          <w:sz w:val="24"/>
          <w:highlight w:val="none"/>
          <w:lang w:bidi="en-US"/>
        </w:rPr>
      </w:pPr>
      <w:r>
        <w:rPr>
          <w:rFonts w:hint="eastAsia" w:ascii="宋体" w:hAnsi="宋体"/>
          <w:b/>
          <w:kern w:val="0"/>
          <w:sz w:val="24"/>
          <w:highlight w:val="none"/>
          <w:lang w:bidi="en-US"/>
        </w:rPr>
        <w:t>4、计算扣分值</w:t>
      </w:r>
    </w:p>
    <w:p>
      <w:pPr>
        <w:widowControl/>
        <w:spacing w:line="360" w:lineRule="auto"/>
        <w:ind w:firstLine="480" w:firstLineChars="200"/>
        <w:jc w:val="left"/>
        <w:rPr>
          <w:rFonts w:ascii="宋体" w:hAnsi="宋体"/>
          <w:kern w:val="0"/>
          <w:sz w:val="24"/>
          <w:highlight w:val="none"/>
          <w:lang w:bidi="en-US"/>
        </w:rPr>
      </w:pPr>
      <w:r>
        <w:rPr>
          <w:rFonts w:hint="eastAsia" w:ascii="宋体" w:hAnsi="宋体"/>
          <w:kern w:val="0"/>
          <w:sz w:val="24"/>
          <w:highlight w:val="none"/>
          <w:lang w:bidi="en-US"/>
        </w:rPr>
        <w:t>扣分值＝投标误差率×每误差</w:t>
      </w:r>
      <w:r>
        <w:rPr>
          <w:rFonts w:ascii="宋体" w:hAnsi="宋体"/>
          <w:kern w:val="0"/>
          <w:sz w:val="24"/>
          <w:highlight w:val="none"/>
          <w:lang w:bidi="en-US"/>
        </w:rPr>
        <w:t>1</w:t>
      </w:r>
      <w:r>
        <w:rPr>
          <w:rFonts w:hint="eastAsia" w:ascii="宋体" w:hAnsi="宋体"/>
          <w:kern w:val="0"/>
          <w:sz w:val="24"/>
          <w:highlight w:val="none"/>
          <w:lang w:bidi="en-US"/>
        </w:rPr>
        <w:t>％的扣分值*100（</w:t>
      </w:r>
      <w:r>
        <w:rPr>
          <w:rFonts w:ascii="宋体" w:hAnsi="宋体"/>
          <w:kern w:val="0"/>
          <w:sz w:val="24"/>
          <w:highlight w:val="none"/>
          <w:lang w:bidi="en-US"/>
        </w:rPr>
        <w:t>1</w:t>
      </w:r>
      <w:r>
        <w:rPr>
          <w:rFonts w:hint="eastAsia" w:ascii="宋体" w:hAnsi="宋体"/>
          <w:kern w:val="0"/>
          <w:sz w:val="24"/>
          <w:highlight w:val="none"/>
          <w:lang w:bidi="en-US"/>
        </w:rPr>
        <w:t>％以内用插入法）。</w:t>
      </w:r>
    </w:p>
    <w:p>
      <w:pPr>
        <w:widowControl/>
        <w:spacing w:line="360" w:lineRule="auto"/>
        <w:jc w:val="left"/>
        <w:rPr>
          <w:rFonts w:hint="eastAsia" w:ascii="宋体" w:hAnsi="宋体" w:eastAsia="宋体"/>
          <w:kern w:val="0"/>
          <w:sz w:val="24"/>
          <w:highlight w:val="none"/>
          <w:lang w:eastAsia="zh-CN" w:bidi="en-US"/>
        </w:rPr>
      </w:pPr>
      <w:r>
        <w:rPr>
          <w:rFonts w:hint="eastAsia" w:ascii="宋体" w:hAnsi="宋体"/>
          <w:kern w:val="0"/>
          <w:sz w:val="24"/>
          <w:highlight w:val="none"/>
          <w:lang w:bidi="en-US"/>
        </w:rPr>
        <w:t>每误差＋</w:t>
      </w:r>
      <w:r>
        <w:rPr>
          <w:rFonts w:ascii="宋体" w:hAnsi="宋体"/>
          <w:kern w:val="0"/>
          <w:sz w:val="24"/>
          <w:highlight w:val="none"/>
          <w:lang w:bidi="en-US"/>
        </w:rPr>
        <w:t>1</w:t>
      </w:r>
      <w:r>
        <w:rPr>
          <w:rFonts w:hint="eastAsia" w:ascii="宋体" w:hAnsi="宋体"/>
          <w:kern w:val="0"/>
          <w:sz w:val="24"/>
          <w:highlight w:val="none"/>
          <w:lang w:bidi="en-US"/>
        </w:rPr>
        <w:t>％扣</w:t>
      </w:r>
      <w:r>
        <w:rPr>
          <w:rFonts w:hint="eastAsia" w:ascii="宋体" w:hAnsi="宋体"/>
          <w:b/>
          <w:kern w:val="0"/>
          <w:sz w:val="24"/>
          <w:highlight w:val="none"/>
          <w:u w:val="single"/>
          <w:lang w:bidi="en-US"/>
        </w:rPr>
        <w:t xml:space="preserve">0.9  </w:t>
      </w:r>
      <w:r>
        <w:rPr>
          <w:rFonts w:hint="eastAsia" w:ascii="宋体" w:hAnsi="宋体"/>
          <w:kern w:val="0"/>
          <w:sz w:val="24"/>
          <w:highlight w:val="none"/>
          <w:lang w:bidi="en-US"/>
        </w:rPr>
        <w:t>分，每误差－</w:t>
      </w:r>
      <w:r>
        <w:rPr>
          <w:rFonts w:ascii="宋体" w:hAnsi="宋体"/>
          <w:kern w:val="0"/>
          <w:sz w:val="24"/>
          <w:highlight w:val="none"/>
          <w:lang w:bidi="en-US"/>
        </w:rPr>
        <w:t>1</w:t>
      </w:r>
      <w:r>
        <w:rPr>
          <w:rFonts w:hint="eastAsia" w:ascii="宋体" w:hAnsi="宋体"/>
          <w:kern w:val="0"/>
          <w:sz w:val="24"/>
          <w:highlight w:val="none"/>
          <w:lang w:bidi="en-US"/>
        </w:rPr>
        <w:t>％扣</w:t>
      </w:r>
      <w:r>
        <w:rPr>
          <w:rFonts w:hint="eastAsia" w:ascii="宋体" w:hAnsi="宋体"/>
          <w:b/>
          <w:kern w:val="0"/>
          <w:sz w:val="24"/>
          <w:highlight w:val="none"/>
          <w:u w:val="single"/>
          <w:lang w:bidi="en-US"/>
        </w:rPr>
        <w:t>0.6</w:t>
      </w:r>
      <w:r>
        <w:rPr>
          <w:rFonts w:hint="eastAsia" w:ascii="宋体" w:hAnsi="宋体"/>
          <w:kern w:val="0"/>
          <w:sz w:val="24"/>
          <w:highlight w:val="none"/>
          <w:lang w:bidi="en-US"/>
        </w:rPr>
        <w:t>分</w:t>
      </w:r>
      <w:r>
        <w:rPr>
          <w:rFonts w:hint="eastAsia" w:ascii="宋体" w:hAnsi="宋体"/>
          <w:kern w:val="0"/>
          <w:sz w:val="24"/>
          <w:highlight w:val="none"/>
          <w:lang w:eastAsia="zh-CN" w:bidi="en-US"/>
        </w:rPr>
        <w:t>，评分计算过程中的分值计算结果均四舍五入保留两位小数。</w:t>
      </w:r>
    </w:p>
    <w:p>
      <w:pPr>
        <w:widowControl/>
        <w:spacing w:line="360" w:lineRule="auto"/>
        <w:jc w:val="left"/>
        <w:rPr>
          <w:rFonts w:ascii="宋体" w:hAnsi="宋体"/>
          <w:b/>
          <w:kern w:val="0"/>
          <w:sz w:val="24"/>
          <w:highlight w:val="none"/>
          <w:lang w:bidi="en-US"/>
        </w:rPr>
      </w:pPr>
      <w:r>
        <w:rPr>
          <w:rFonts w:hint="eastAsia" w:ascii="宋体" w:hAnsi="宋体"/>
          <w:b/>
          <w:kern w:val="0"/>
          <w:sz w:val="24"/>
          <w:highlight w:val="none"/>
          <w:lang w:bidi="en-US"/>
        </w:rPr>
        <w:t>5、计算投标报价得分</w:t>
      </w:r>
    </w:p>
    <w:p>
      <w:pPr>
        <w:widowControl/>
        <w:spacing w:line="360" w:lineRule="auto"/>
        <w:ind w:firstLine="470" w:firstLineChars="196"/>
        <w:jc w:val="left"/>
        <w:rPr>
          <w:rFonts w:ascii="宋体" w:hAnsi="宋体"/>
          <w:kern w:val="0"/>
          <w:sz w:val="24"/>
          <w:highlight w:val="none"/>
          <w:lang w:bidi="en-US"/>
        </w:rPr>
      </w:pPr>
      <w:r>
        <w:rPr>
          <w:rFonts w:hint="eastAsia" w:ascii="宋体" w:hAnsi="宋体"/>
          <w:kern w:val="0"/>
          <w:sz w:val="24"/>
          <w:highlight w:val="none"/>
          <w:lang w:bidi="en-US"/>
        </w:rPr>
        <w:t>投标报价得分=100分－投标报价扣分值</w:t>
      </w:r>
    </w:p>
    <w:p>
      <w:pPr>
        <w:widowControl/>
        <w:spacing w:line="360" w:lineRule="auto"/>
        <w:jc w:val="left"/>
        <w:rPr>
          <w:rFonts w:ascii="宋体" w:hAnsi="宋体"/>
          <w:b/>
          <w:kern w:val="0"/>
          <w:sz w:val="24"/>
          <w:highlight w:val="none"/>
          <w:lang w:bidi="en-US"/>
        </w:rPr>
      </w:pPr>
      <w:r>
        <w:rPr>
          <w:rFonts w:hint="eastAsia" w:ascii="宋体" w:hAnsi="宋体"/>
          <w:b/>
          <w:kern w:val="0"/>
          <w:sz w:val="24"/>
          <w:highlight w:val="none"/>
          <w:lang w:bidi="en-US"/>
        </w:rPr>
        <w:t>（二）投标文件能够满足招标文件的实质性要求，否则为废标。</w:t>
      </w:r>
    </w:p>
    <w:p>
      <w:pPr>
        <w:widowControl/>
        <w:spacing w:line="360" w:lineRule="auto"/>
        <w:jc w:val="left"/>
        <w:rPr>
          <w:rFonts w:ascii="宋体" w:hAnsi="宋体"/>
          <w:b/>
          <w:kern w:val="0"/>
          <w:sz w:val="24"/>
          <w:highlight w:val="none"/>
          <w:lang w:bidi="en-US"/>
        </w:rPr>
      </w:pPr>
      <w:r>
        <w:rPr>
          <w:rFonts w:hint="eastAsia" w:ascii="宋体" w:hAnsi="宋体"/>
          <w:b/>
          <w:kern w:val="0"/>
          <w:sz w:val="24"/>
          <w:highlight w:val="none"/>
          <w:lang w:bidi="en-US"/>
        </w:rPr>
        <w:t>（三）经评审的满足以上各点要求的最高得分的单位为中标候选人。</w:t>
      </w:r>
    </w:p>
    <w:p>
      <w:pPr>
        <w:widowControl/>
        <w:spacing w:line="360" w:lineRule="auto"/>
        <w:jc w:val="left"/>
        <w:rPr>
          <w:rFonts w:ascii="宋体" w:hAnsi="宋体"/>
          <w:b/>
          <w:kern w:val="0"/>
          <w:sz w:val="24"/>
          <w:highlight w:val="none"/>
          <w:lang w:bidi="en-US"/>
        </w:rPr>
      </w:pPr>
      <w:r>
        <w:rPr>
          <w:rFonts w:hint="eastAsia" w:ascii="宋体" w:hAnsi="宋体"/>
          <w:b/>
          <w:kern w:val="0"/>
          <w:sz w:val="24"/>
          <w:highlight w:val="none"/>
          <w:lang w:bidi="en-US"/>
        </w:rPr>
        <w:t>定标办法：以上得分汇总最高者为第一中标候选人，其次为第二中标候选人，以此类推。若得分相同，则按投标报价低的排名靠前确定投标人排序；若得分相同，投标报价也相同，则当场按开标记录表顺序抽签确定中标候选人排序。</w:t>
      </w:r>
    </w:p>
    <w:p>
      <w:pPr>
        <w:spacing w:line="360" w:lineRule="auto"/>
        <w:ind w:firstLine="480" w:firstLineChars="200"/>
        <w:rPr>
          <w:rFonts w:ascii="宋体" w:hAnsi="宋体"/>
          <w:color w:val="000000"/>
          <w:kern w:val="0"/>
          <w:sz w:val="24"/>
          <w:highlight w:val="none"/>
        </w:rPr>
      </w:pPr>
      <w:r>
        <w:rPr>
          <w:rFonts w:hint="eastAsia" w:ascii="宋体" w:hAnsi="宋体"/>
          <w:color w:val="000000"/>
          <w:kern w:val="0"/>
          <w:sz w:val="24"/>
          <w:highlight w:val="none"/>
        </w:rPr>
        <w:t>评标细则使用说明：</w:t>
      </w:r>
    </w:p>
    <w:p>
      <w:pPr>
        <w:spacing w:line="360" w:lineRule="auto"/>
        <w:ind w:firstLine="480" w:firstLineChars="200"/>
        <w:rPr>
          <w:rFonts w:ascii="宋体" w:hAnsi="宋体"/>
          <w:color w:val="000000"/>
          <w:kern w:val="0"/>
          <w:sz w:val="24"/>
          <w:highlight w:val="none"/>
        </w:rPr>
      </w:pPr>
      <w:r>
        <w:rPr>
          <w:rFonts w:hint="eastAsia" w:ascii="宋体" w:hAnsi="宋体"/>
          <w:color w:val="000000"/>
          <w:kern w:val="0"/>
          <w:sz w:val="24"/>
          <w:highlight w:val="none"/>
        </w:rPr>
        <w:t xml:space="preserve">1.评标程序：1）符合性评审（资格审查）；2）清标；3）经济标评审；4）计算评标基准价；5）定标。 </w:t>
      </w:r>
    </w:p>
    <w:p>
      <w:pPr>
        <w:spacing w:line="360" w:lineRule="auto"/>
        <w:ind w:firstLine="480" w:firstLineChars="200"/>
        <w:rPr>
          <w:rFonts w:ascii="宋体" w:hAnsi="宋体"/>
          <w:color w:val="000000"/>
          <w:kern w:val="0"/>
          <w:sz w:val="24"/>
          <w:highlight w:val="none"/>
        </w:rPr>
      </w:pPr>
      <w:r>
        <w:rPr>
          <w:rFonts w:hint="eastAsia" w:ascii="宋体" w:hAnsi="宋体"/>
          <w:color w:val="000000"/>
          <w:kern w:val="0"/>
          <w:sz w:val="24"/>
          <w:highlight w:val="none"/>
        </w:rPr>
        <w:t xml:space="preserve">2.前续评审不合格的不再进行后续评审。 </w:t>
      </w:r>
    </w:p>
    <w:p>
      <w:pPr>
        <w:widowControl/>
        <w:spacing w:line="360" w:lineRule="auto"/>
        <w:ind w:firstLine="470" w:firstLineChars="196"/>
        <w:jc w:val="left"/>
        <w:rPr>
          <w:rFonts w:ascii="宋体" w:hAnsi="宋体"/>
          <w:kern w:val="0"/>
          <w:sz w:val="24"/>
          <w:highlight w:val="none"/>
          <w:lang w:bidi="en-US"/>
        </w:rPr>
      </w:pPr>
      <w:r>
        <w:rPr>
          <w:rFonts w:hint="eastAsia" w:ascii="宋体" w:hAnsi="宋体"/>
          <w:color w:val="000000"/>
          <w:kern w:val="0"/>
          <w:sz w:val="24"/>
          <w:highlight w:val="none"/>
        </w:rPr>
        <w:t>3.各类抽签值在抽取产生后，评标基准价不因招投标当事人质疑、投诉、复议以及其它任何情形而改变（除计算错误外）。</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p>
    <w:p>
      <w:pPr>
        <w:rPr>
          <w:rFonts w:ascii="宋体" w:hAnsi="宋体"/>
          <w:b/>
          <w:kern w:val="0"/>
          <w:sz w:val="30"/>
          <w:szCs w:val="30"/>
          <w:highlight w:val="none"/>
          <w:lang w:bidi="en-US"/>
        </w:rPr>
      </w:pPr>
      <w:r>
        <w:rPr>
          <w:rFonts w:hint="eastAsia" w:ascii="宋体" w:hAnsi="宋体"/>
          <w:b/>
          <w:kern w:val="0"/>
          <w:sz w:val="30"/>
          <w:szCs w:val="30"/>
          <w:highlight w:val="none"/>
          <w:lang w:bidi="en-US"/>
        </w:rPr>
        <w:t>附件三：</w:t>
      </w:r>
    </w:p>
    <w:p>
      <w:pPr>
        <w:jc w:val="center"/>
        <w:rPr>
          <w:b/>
          <w:sz w:val="44"/>
          <w:szCs w:val="44"/>
          <w:highlight w:val="none"/>
        </w:rPr>
      </w:pPr>
      <w:r>
        <w:rPr>
          <w:rFonts w:hint="eastAsia"/>
          <w:b/>
          <w:sz w:val="44"/>
          <w:szCs w:val="44"/>
          <w:highlight w:val="none"/>
        </w:rPr>
        <w:t>投标保证金说明</w:t>
      </w:r>
    </w:p>
    <w:p>
      <w:pPr>
        <w:shd w:val="clear" w:color="auto"/>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一、投标保证金金额或投标保函担保金额：人民</w:t>
      </w:r>
      <w:r>
        <w:rPr>
          <w:rFonts w:hint="eastAsia" w:ascii="宋体" w:hAnsi="宋体"/>
          <w:sz w:val="24"/>
          <w:highlight w:val="none"/>
          <w:lang w:val="en-US" w:eastAsia="zh-CN"/>
        </w:rPr>
        <w:t xml:space="preserve"> / </w:t>
      </w:r>
      <w:r>
        <w:rPr>
          <w:rFonts w:hint="eastAsia" w:ascii="宋体" w:hAnsi="宋体"/>
          <w:sz w:val="24"/>
          <w:highlight w:val="none"/>
        </w:rPr>
        <w:t>元</w:t>
      </w:r>
      <w:r>
        <w:rPr>
          <w:rFonts w:hint="eastAsia" w:ascii="宋体" w:hAnsi="宋体"/>
          <w:sz w:val="24"/>
          <w:highlight w:val="none"/>
          <w:lang w:eastAsia="zh-CN"/>
        </w:rPr>
        <w:t>（</w:t>
      </w:r>
      <w:r>
        <w:rPr>
          <w:rFonts w:hint="eastAsia" w:ascii="宋体" w:hAnsi="宋体"/>
          <w:sz w:val="24"/>
          <w:highlight w:val="none"/>
          <w:lang w:val="en-US" w:eastAsia="zh-CN"/>
        </w:rPr>
        <w:t>免收</w:t>
      </w:r>
      <w:r>
        <w:rPr>
          <w:rFonts w:hint="eastAsia" w:ascii="宋体" w:hAnsi="宋体"/>
          <w:sz w:val="24"/>
          <w:highlight w:val="none"/>
          <w:lang w:eastAsia="zh-CN"/>
        </w:rPr>
        <w:t>）</w:t>
      </w:r>
    </w:p>
    <w:p>
      <w:pPr>
        <w:shd w:val="clear"/>
        <w:spacing w:line="440" w:lineRule="exact"/>
        <w:ind w:firstLine="480" w:firstLineChars="200"/>
        <w:rPr>
          <w:rFonts w:ascii="宋体" w:hAnsi="宋体"/>
          <w:sz w:val="24"/>
          <w:highlight w:val="none"/>
        </w:rPr>
      </w:pPr>
      <w:r>
        <w:rPr>
          <w:rFonts w:hint="eastAsia" w:ascii="宋体" w:hAnsi="宋体"/>
          <w:sz w:val="24"/>
          <w:highlight w:val="none"/>
        </w:rPr>
        <w:t>二、投标保证金的递交方式：</w:t>
      </w:r>
    </w:p>
    <w:p>
      <w:pPr>
        <w:spacing w:line="440" w:lineRule="exact"/>
        <w:ind w:firstLine="480" w:firstLineChars="200"/>
        <w:rPr>
          <w:rFonts w:ascii="宋体" w:hAnsi="宋体"/>
          <w:sz w:val="24"/>
          <w:highlight w:val="none"/>
        </w:rPr>
      </w:pPr>
      <w:r>
        <w:rPr>
          <w:rFonts w:hint="eastAsia" w:ascii="宋体" w:hAnsi="宋体"/>
          <w:sz w:val="24"/>
          <w:highlight w:val="none"/>
        </w:rPr>
        <w:t>方式 1.电子投标保函通过电子投标保函办理平台在线申请办理</w:t>
      </w:r>
    </w:p>
    <w:p>
      <w:pPr>
        <w:spacing w:line="440" w:lineRule="exact"/>
        <w:ind w:firstLine="480" w:firstLineChars="200"/>
        <w:rPr>
          <w:rFonts w:ascii="宋体" w:hAnsi="宋体"/>
          <w:sz w:val="24"/>
          <w:highlight w:val="none"/>
        </w:rPr>
      </w:pPr>
      <w:r>
        <w:rPr>
          <w:rFonts w:hint="eastAsia" w:ascii="宋体" w:hAnsi="宋体"/>
          <w:sz w:val="24"/>
          <w:highlight w:val="none"/>
        </w:rPr>
        <w:t>(网址：http://js.etrading.cn:90)。</w:t>
      </w:r>
    </w:p>
    <w:p>
      <w:pPr>
        <w:spacing w:line="440" w:lineRule="exact"/>
        <w:ind w:firstLine="480" w:firstLineChars="200"/>
        <w:rPr>
          <w:rFonts w:ascii="宋体" w:hAnsi="宋体"/>
          <w:sz w:val="24"/>
          <w:highlight w:val="none"/>
        </w:rPr>
      </w:pPr>
      <w:r>
        <w:rPr>
          <w:rFonts w:hint="eastAsia" w:ascii="宋体" w:hAnsi="宋体"/>
          <w:sz w:val="24"/>
          <w:highlight w:val="none"/>
        </w:rPr>
        <w:t>方式2：投标报名单位基本账户电汇、网银转账；</w:t>
      </w:r>
    </w:p>
    <w:p>
      <w:pPr>
        <w:spacing w:line="440" w:lineRule="exact"/>
        <w:ind w:firstLine="480" w:firstLineChars="200"/>
        <w:rPr>
          <w:rFonts w:ascii="宋体" w:hAnsi="宋体"/>
          <w:sz w:val="24"/>
          <w:highlight w:val="none"/>
        </w:rPr>
      </w:pPr>
      <w:r>
        <w:rPr>
          <w:rFonts w:hint="eastAsia" w:ascii="宋体" w:hAnsi="宋体"/>
          <w:sz w:val="24"/>
          <w:highlight w:val="none"/>
        </w:rPr>
        <w:t>投标保证金专用账户信息：</w:t>
      </w:r>
    </w:p>
    <w:p>
      <w:pPr>
        <w:spacing w:line="440" w:lineRule="exact"/>
        <w:ind w:firstLine="480" w:firstLineChars="200"/>
        <w:rPr>
          <w:rFonts w:ascii="宋体" w:hAnsi="宋体"/>
          <w:sz w:val="24"/>
          <w:highlight w:val="none"/>
        </w:rPr>
      </w:pPr>
      <w:r>
        <w:rPr>
          <w:rFonts w:hint="eastAsia" w:ascii="宋体" w:hAnsi="宋体"/>
          <w:sz w:val="24"/>
          <w:highlight w:val="none"/>
        </w:rPr>
        <w:t>账户名称：常州润邦招标代理有限公司</w:t>
      </w:r>
    </w:p>
    <w:p>
      <w:pPr>
        <w:spacing w:line="440" w:lineRule="exact"/>
        <w:ind w:firstLine="480" w:firstLineChars="200"/>
        <w:rPr>
          <w:rFonts w:ascii="宋体" w:hAnsi="宋体"/>
          <w:sz w:val="24"/>
          <w:highlight w:val="none"/>
        </w:rPr>
      </w:pPr>
      <w:r>
        <w:rPr>
          <w:rFonts w:hint="eastAsia" w:ascii="宋体" w:hAnsi="宋体"/>
          <w:sz w:val="24"/>
          <w:highlight w:val="none"/>
        </w:rPr>
        <w:t>开户银行：江南农村商业银行龙虎塘支行</w:t>
      </w:r>
    </w:p>
    <w:p>
      <w:pPr>
        <w:spacing w:line="440" w:lineRule="exact"/>
        <w:ind w:firstLine="480" w:firstLineChars="200"/>
        <w:rPr>
          <w:rFonts w:ascii="宋体" w:hAnsi="宋体"/>
          <w:sz w:val="24"/>
          <w:highlight w:val="none"/>
        </w:rPr>
      </w:pPr>
      <w:r>
        <w:rPr>
          <w:rFonts w:hint="eastAsia" w:ascii="宋体" w:hAnsi="宋体"/>
          <w:sz w:val="24"/>
          <w:highlight w:val="none"/>
        </w:rPr>
        <w:t>银行账号：01080012010000003610</w:t>
      </w:r>
    </w:p>
    <w:p>
      <w:pPr>
        <w:spacing w:line="440" w:lineRule="exact"/>
        <w:ind w:firstLine="480" w:firstLineChars="200"/>
        <w:rPr>
          <w:rFonts w:ascii="宋体" w:hAnsi="宋体"/>
          <w:sz w:val="24"/>
          <w:highlight w:val="none"/>
        </w:rPr>
      </w:pPr>
      <w:r>
        <w:rPr>
          <w:rFonts w:hint="eastAsia" w:ascii="宋体" w:hAnsi="宋体"/>
          <w:sz w:val="24"/>
          <w:highlight w:val="none"/>
        </w:rPr>
        <w:t>三、其他要求：</w:t>
      </w:r>
    </w:p>
    <w:p>
      <w:pPr>
        <w:spacing w:line="440" w:lineRule="exact"/>
        <w:ind w:firstLine="480" w:firstLineChars="200"/>
        <w:rPr>
          <w:rFonts w:ascii="宋体" w:hAnsi="宋体"/>
          <w:sz w:val="24"/>
          <w:highlight w:val="none"/>
        </w:rPr>
      </w:pPr>
      <w:r>
        <w:rPr>
          <w:rFonts w:hint="eastAsia" w:ascii="宋体" w:hAnsi="宋体"/>
          <w:sz w:val="24"/>
          <w:highlight w:val="none"/>
        </w:rPr>
        <w:t>1.投标人在递交投标文件时，应按投标人须知前附表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w:t>
      </w:r>
      <w:r>
        <w:rPr>
          <w:rFonts w:hint="eastAsia" w:ascii="宋体" w:hAnsi="宋体"/>
          <w:b/>
          <w:sz w:val="24"/>
          <w:highlight w:val="none"/>
        </w:rPr>
        <w:t>投标保证金（投标保函）在投标截止时间</w:t>
      </w:r>
      <w:r>
        <w:rPr>
          <w:rFonts w:hint="eastAsia" w:ascii="宋体" w:hAnsi="宋体"/>
          <w:sz w:val="24"/>
          <w:highlight w:val="none"/>
        </w:rPr>
        <w:t>前到达。</w:t>
      </w:r>
    </w:p>
    <w:p>
      <w:pPr>
        <w:spacing w:line="440" w:lineRule="exact"/>
        <w:ind w:firstLine="480" w:firstLineChars="200"/>
        <w:rPr>
          <w:rFonts w:ascii="宋体" w:hAnsi="宋体"/>
          <w:sz w:val="24"/>
          <w:highlight w:val="none"/>
        </w:rPr>
      </w:pPr>
      <w:r>
        <w:rPr>
          <w:rFonts w:hint="eastAsia" w:ascii="宋体" w:hAnsi="宋体"/>
          <w:sz w:val="24"/>
          <w:highlight w:val="none"/>
        </w:rPr>
        <w:t>2.投标保证金应采用电汇、网银等转账方式由投标单位基本账户转出；电子投标保函担保费应通过投标单位基本账户缴纳。</w:t>
      </w:r>
    </w:p>
    <w:p>
      <w:pPr>
        <w:spacing w:line="440" w:lineRule="exact"/>
        <w:ind w:firstLine="480" w:firstLineChars="200"/>
        <w:rPr>
          <w:rFonts w:ascii="宋体" w:hAnsi="宋体"/>
          <w:sz w:val="24"/>
          <w:highlight w:val="none"/>
        </w:rPr>
      </w:pPr>
      <w:r>
        <w:rPr>
          <w:rFonts w:hint="eastAsia" w:ascii="宋体" w:hAnsi="宋体"/>
          <w:sz w:val="24"/>
          <w:highlight w:val="none"/>
        </w:rPr>
        <w:t>3.投标人未按招标文件的要求提供投标保函或者投标保证金的，作为无效投标文件，不得进入评标。</w:t>
      </w:r>
    </w:p>
    <w:p>
      <w:pPr>
        <w:spacing w:line="440" w:lineRule="exact"/>
        <w:ind w:firstLine="480" w:firstLineChars="200"/>
        <w:rPr>
          <w:rFonts w:ascii="宋体" w:hAnsi="宋体"/>
          <w:bCs/>
          <w:kern w:val="0"/>
          <w:sz w:val="24"/>
          <w:highlight w:val="none"/>
          <w:lang w:bidi="en-US"/>
        </w:rPr>
      </w:pPr>
      <w:r>
        <w:rPr>
          <w:rFonts w:hint="eastAsia" w:ascii="宋体" w:hAnsi="宋体"/>
          <w:sz w:val="24"/>
          <w:highlight w:val="none"/>
        </w:rPr>
        <w:t>4.请采用电子投标保函方式递交投标保证金的投标人务必妥善保管好“</w:t>
      </w:r>
      <w:r>
        <w:rPr>
          <w:rFonts w:hint="eastAsia" w:ascii="宋体" w:hAnsi="宋体"/>
          <w:b/>
          <w:sz w:val="24"/>
          <w:highlight w:val="none"/>
        </w:rPr>
        <w:t>电子投标保函回执单</w:t>
      </w:r>
      <w:r>
        <w:rPr>
          <w:rFonts w:hint="eastAsia" w:ascii="宋体" w:hAnsi="宋体"/>
          <w:sz w:val="24"/>
          <w:highlight w:val="none"/>
        </w:rPr>
        <w:t>”，如在开标时发生投标保函查询异常的情况，投标人需提供该回执单作为查询投标保函的依据。电汇、网银等转账方式</w:t>
      </w:r>
      <w:r>
        <w:rPr>
          <w:rFonts w:hint="eastAsia" w:ascii="宋体" w:hAnsi="宋体"/>
          <w:bCs/>
          <w:kern w:val="0"/>
          <w:sz w:val="24"/>
          <w:highlight w:val="none"/>
          <w:lang w:bidi="en-US"/>
        </w:rPr>
        <w:t>需将</w:t>
      </w:r>
      <w:r>
        <w:rPr>
          <w:rFonts w:hint="eastAsia" w:ascii="宋体" w:hAnsi="宋体"/>
          <w:b/>
          <w:bCs/>
          <w:kern w:val="0"/>
          <w:sz w:val="24"/>
          <w:highlight w:val="none"/>
          <w:lang w:bidi="en-US"/>
        </w:rPr>
        <w:t>投标保证金凭证（如银行进账单、电子回单等）</w:t>
      </w:r>
      <w:r>
        <w:rPr>
          <w:rFonts w:hint="eastAsia" w:ascii="宋体" w:hAnsi="宋体"/>
          <w:bCs/>
          <w:kern w:val="0"/>
          <w:sz w:val="24"/>
          <w:highlight w:val="none"/>
          <w:lang w:bidi="en-US"/>
        </w:rPr>
        <w:t>上传（编入）投标文件中。投标保证金以</w:t>
      </w:r>
      <w:r>
        <w:rPr>
          <w:rFonts w:ascii="宋体" w:hAnsi="宋体"/>
          <w:bCs/>
          <w:kern w:val="0"/>
          <w:sz w:val="24"/>
          <w:highlight w:val="none"/>
          <w:lang w:bidi="en-US"/>
        </w:rPr>
        <w:t>投标保证金到账截止时间</w:t>
      </w:r>
      <w:r>
        <w:rPr>
          <w:rFonts w:hint="eastAsia" w:ascii="宋体" w:hAnsi="宋体"/>
          <w:bCs/>
          <w:kern w:val="0"/>
          <w:sz w:val="24"/>
          <w:highlight w:val="none"/>
          <w:lang w:bidi="en-US"/>
        </w:rPr>
        <w:t>我单位实际收到的投标保证金为准。未按时缴纳投标保证金的单位作资格审查不合格处理；转账缴纳投标保证金后恶意撤回转账的单位，致我单位未实际收到投标保证金的单位，将该行为视为招投标中弄虚作假行为。</w:t>
      </w:r>
    </w:p>
    <w:p>
      <w:pPr>
        <w:spacing w:line="440" w:lineRule="exact"/>
        <w:ind w:firstLine="480" w:firstLineChars="200"/>
        <w:rPr>
          <w:rFonts w:ascii="宋体" w:hAnsi="宋体"/>
          <w:sz w:val="24"/>
          <w:highlight w:val="none"/>
        </w:rPr>
      </w:pPr>
      <w:r>
        <w:rPr>
          <w:rFonts w:hint="eastAsia" w:ascii="宋体" w:hAnsi="宋体"/>
          <w:sz w:val="24"/>
          <w:highlight w:val="none"/>
        </w:rPr>
        <w:t>四、投标保证金退还</w:t>
      </w:r>
    </w:p>
    <w:p>
      <w:pPr>
        <w:spacing w:line="440" w:lineRule="exact"/>
        <w:ind w:firstLine="480" w:firstLineChars="200"/>
        <w:rPr>
          <w:rFonts w:ascii="宋体" w:hAnsi="宋体"/>
          <w:sz w:val="24"/>
          <w:highlight w:val="none"/>
        </w:rPr>
      </w:pPr>
      <w:r>
        <w:rPr>
          <w:rFonts w:hint="eastAsia" w:ascii="宋体" w:hAnsi="宋体"/>
          <w:sz w:val="24"/>
          <w:highlight w:val="none"/>
        </w:rPr>
        <w:t>非排名前三名的投标人的投标保证金，在中标结果公示无异议后五个工作日内退还；排名前三名的中标候选人的投标保证金，在招标人与中标人签订合同后五个工作日内退还。</w:t>
      </w:r>
    </w:p>
    <w:p>
      <w:pPr>
        <w:spacing w:line="440" w:lineRule="exact"/>
        <w:ind w:firstLine="480" w:firstLineChars="200"/>
        <w:rPr>
          <w:rFonts w:ascii="宋体" w:hAnsi="宋体"/>
          <w:sz w:val="24"/>
          <w:highlight w:val="none"/>
        </w:rPr>
      </w:pPr>
      <w:r>
        <w:rPr>
          <w:rFonts w:hint="eastAsia" w:ascii="宋体" w:hAnsi="宋体"/>
          <w:sz w:val="24"/>
          <w:highlight w:val="none"/>
        </w:rPr>
        <w:t>注：招标失败项目的投标保证金或投标保函应予以退还。再次组织招标时，各投标人须按规定重新缴纳该项目的投标保证金或提交投标保函。</w:t>
      </w:r>
    </w:p>
    <w:p>
      <w:pPr>
        <w:numPr>
          <w:ilvl w:val="0"/>
          <w:numId w:val="1"/>
        </w:numPr>
        <w:spacing w:line="440" w:lineRule="exact"/>
        <w:rPr>
          <w:rFonts w:ascii="宋体" w:hAnsi="宋体"/>
          <w:color w:val="000000"/>
          <w:sz w:val="24"/>
          <w:highlight w:val="none"/>
        </w:rPr>
      </w:pPr>
      <w:r>
        <w:rPr>
          <w:rFonts w:hint="eastAsia" w:ascii="宋体" w:hAnsi="宋体"/>
          <w:color w:val="000000"/>
          <w:sz w:val="24"/>
          <w:highlight w:val="none"/>
        </w:rPr>
        <w:t>投标保证金缴纳咨询电话0519-8188</w:t>
      </w:r>
      <w:r>
        <w:rPr>
          <w:rFonts w:hint="eastAsia" w:ascii="宋体" w:hAnsi="宋体"/>
          <w:color w:val="000000"/>
          <w:sz w:val="24"/>
          <w:highlight w:val="none"/>
          <w:lang w:val="en-US" w:eastAsia="zh-CN"/>
        </w:rPr>
        <w:t>2063</w:t>
      </w:r>
    </w:p>
    <w:p>
      <w:pPr>
        <w:widowControl/>
        <w:jc w:val="left"/>
        <w:rPr>
          <w:b/>
          <w:kern w:val="0"/>
          <w:sz w:val="30"/>
          <w:szCs w:val="30"/>
          <w:highlight w:val="none"/>
          <w:lang w:bidi="en-US"/>
        </w:rPr>
      </w:pP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b/>
          <w:sz w:val="36"/>
          <w:highlight w:val="none"/>
        </w:rPr>
        <w:t>工程施工招标</w:t>
      </w:r>
    </w:p>
    <w:p>
      <w:pPr>
        <w:keepNext/>
        <w:keepLines/>
        <w:numPr>
          <w:ilvl w:val="0"/>
          <w:numId w:val="2"/>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p>
    <w:p>
      <w:pPr>
        <w:jc w:val="center"/>
        <w:rPr>
          <w:b/>
          <w:highlight w:val="none"/>
        </w:rPr>
      </w:pPr>
      <w:r>
        <w:rPr>
          <w:b/>
          <w:sz w:val="32"/>
          <w:highlight w:val="none"/>
        </w:rPr>
        <w:t>项目编号：</w:t>
      </w:r>
      <w:r>
        <w:rPr>
          <w:b/>
          <w:sz w:val="32"/>
          <w:highlight w:val="none"/>
          <w:u w:val="single"/>
        </w:rPr>
        <w:tab/>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ab/>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ab/>
      </w:r>
      <w:r>
        <w:rPr>
          <w:b/>
          <w:sz w:val="32"/>
          <w:highlight w:val="none"/>
          <w:u w:val="single"/>
        </w:rPr>
        <w:tab/>
      </w:r>
      <w:r>
        <w:rPr>
          <w:b/>
          <w:sz w:val="32"/>
          <w:highlight w:val="none"/>
          <w:u w:val="single"/>
        </w:rPr>
        <w:t xml:space="preserve">   （盖章）</w:t>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日期：年月日</w:t>
      </w:r>
    </w:p>
    <w:p>
      <w:pPr>
        <w:keepNext/>
        <w:keepLines/>
        <w:numPr>
          <w:ilvl w:val="0"/>
          <w:numId w:val="2"/>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5"/>
        <w:numPr>
          <w:ilvl w:val="0"/>
          <w:numId w:val="3"/>
        </w:numPr>
        <w:spacing w:line="360" w:lineRule="auto"/>
        <w:ind w:firstLine="480" w:firstLineChars="200"/>
        <w:rPr>
          <w:rFonts w:ascii="宋体" w:hAnsi="宋体"/>
          <w:sz w:val="24"/>
          <w:highlight w:val="none"/>
        </w:rPr>
      </w:pPr>
      <w:r>
        <w:rPr>
          <w:rFonts w:hint="eastAsia" w:ascii="宋体" w:hAnsi="宋体" w:cs="宋体"/>
          <w:sz w:val="24"/>
          <w:highlight w:val="none"/>
        </w:rPr>
        <w:t>《经开区工程建设投标申请书》</w:t>
      </w:r>
      <w:r>
        <w:rPr>
          <w:rFonts w:hint="eastAsia" w:ascii="宋体" w:hAnsi="宋体"/>
          <w:sz w:val="24"/>
          <w:highlight w:val="none"/>
        </w:rPr>
        <w:t>（格式详见附件四-1、四-2打印且加盖单位公章及法人签字或盖章）；</w:t>
      </w:r>
    </w:p>
    <w:p>
      <w:pPr>
        <w:pStyle w:val="45"/>
        <w:numPr>
          <w:ilvl w:val="0"/>
          <w:numId w:val="3"/>
        </w:numPr>
        <w:shd w:val="clear"/>
        <w:spacing w:line="360" w:lineRule="auto"/>
        <w:ind w:firstLine="480" w:firstLineChars="200"/>
        <w:rPr>
          <w:rFonts w:ascii="宋体" w:hAnsi="宋体"/>
          <w:sz w:val="24"/>
          <w:highlight w:val="none"/>
        </w:rPr>
      </w:pPr>
      <w:r>
        <w:rPr>
          <w:rFonts w:hint="eastAsia" w:ascii="宋体" w:hAnsi="宋体"/>
          <w:sz w:val="24"/>
          <w:highlight w:val="none"/>
        </w:rPr>
        <w:t>企业营业执照（副本）（</w:t>
      </w:r>
      <w:r>
        <w:rPr>
          <w:rFonts w:hint="eastAsia" w:ascii="宋体" w:hAnsi="宋体" w:cs="宋体"/>
          <w:color w:val="000000"/>
          <w:sz w:val="24"/>
          <w:highlight w:val="none"/>
        </w:rPr>
        <w:t>加盖投标单位公章</w:t>
      </w:r>
      <w:r>
        <w:rPr>
          <w:rFonts w:hint="eastAsia" w:ascii="宋体" w:hAnsi="宋体"/>
          <w:sz w:val="24"/>
          <w:highlight w:val="none"/>
        </w:rPr>
        <w:t>）</w:t>
      </w:r>
      <w:r>
        <w:rPr>
          <w:rFonts w:hint="eastAsia" w:ascii="宋体" w:hAnsi="宋体" w:cs="宋体"/>
          <w:sz w:val="24"/>
          <w:highlight w:val="none"/>
        </w:rPr>
        <w:t>；</w:t>
      </w:r>
    </w:p>
    <w:p>
      <w:pPr>
        <w:pStyle w:val="45"/>
        <w:numPr>
          <w:ilvl w:val="0"/>
          <w:numId w:val="3"/>
        </w:num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企业资质等级证书（副本）（企业资质情况通过扫描建筑业企业资质证书复印件的二维码核查真实性，加盖投标单位公章）</w:t>
      </w:r>
    </w:p>
    <w:p>
      <w:pPr>
        <w:pStyle w:val="45"/>
        <w:numPr>
          <w:ilvl w:val="0"/>
          <w:numId w:val="3"/>
        </w:num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企业安全生产许可证（根据项目类别区分，由建设、交通或水利行政主管部门核发，相关官方系统平台可以查询的，以系统打印件加盖投标单位公章为准）；</w:t>
      </w:r>
    </w:p>
    <w:p>
      <w:pPr>
        <w:pStyle w:val="45"/>
        <w:numPr>
          <w:ilvl w:val="0"/>
          <w:numId w:val="3"/>
        </w:num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电子投标保函回执、投标保证金的银行进账单原件或电子回单。</w:t>
      </w:r>
      <w:r>
        <w:rPr>
          <w:rFonts w:hint="eastAsia" w:ascii="宋体" w:hAnsi="宋体"/>
          <w:sz w:val="24"/>
          <w:highlight w:val="none"/>
        </w:rPr>
        <w:t>（投标保证金缴纳说明详见附件三）</w:t>
      </w:r>
      <w:r>
        <w:rPr>
          <w:rFonts w:hint="eastAsia" w:ascii="宋体" w:hAnsi="宋体"/>
          <w:sz w:val="24"/>
          <w:highlight w:val="none"/>
          <w:lang w:eastAsia="zh-CN"/>
        </w:rPr>
        <w:t>（</w:t>
      </w:r>
      <w:r>
        <w:rPr>
          <w:rFonts w:hint="eastAsia" w:ascii="宋体" w:hAnsi="宋体"/>
          <w:sz w:val="24"/>
          <w:highlight w:val="none"/>
          <w:lang w:val="en-US" w:eastAsia="zh-CN"/>
        </w:rPr>
        <w:t>如有</w:t>
      </w:r>
      <w:r>
        <w:rPr>
          <w:rFonts w:hint="eastAsia" w:ascii="宋体" w:hAnsi="宋体"/>
          <w:sz w:val="24"/>
          <w:highlight w:val="none"/>
          <w:lang w:eastAsia="zh-CN"/>
        </w:rPr>
        <w:t>）</w:t>
      </w:r>
      <w:r>
        <w:rPr>
          <w:rFonts w:hint="eastAsia" w:ascii="宋体" w:hAnsi="宋体"/>
          <w:sz w:val="24"/>
          <w:highlight w:val="none"/>
        </w:rPr>
        <w:t>；</w:t>
      </w:r>
    </w:p>
    <w:p>
      <w:pPr>
        <w:numPr>
          <w:ilvl w:val="0"/>
          <w:numId w:val="3"/>
        </w:numPr>
        <w:spacing w:line="360" w:lineRule="auto"/>
        <w:ind w:firstLine="480" w:firstLineChars="200"/>
        <w:rPr>
          <w:rFonts w:ascii="宋体" w:hAnsi="宋体" w:cs="宋体"/>
          <w:color w:val="000000"/>
          <w:kern w:val="0"/>
          <w:sz w:val="24"/>
          <w:highlight w:val="none"/>
        </w:rPr>
      </w:pPr>
      <w:r>
        <w:rPr>
          <w:rFonts w:hint="eastAsia" w:ascii="宋体" w:hAnsi="宋体" w:cs="楷体"/>
          <w:sz w:val="24"/>
          <w:highlight w:val="none"/>
        </w:rPr>
        <w:t>法定代表人身份证明文件、法人授权委托书、被委托人的第二代居民身份证复印件加盖投标单位公章。</w:t>
      </w:r>
      <w:r>
        <w:rPr>
          <w:rFonts w:hint="eastAsia" w:ascii="宋体" w:hAnsi="宋体" w:cs="宋体"/>
          <w:color w:val="000000"/>
          <w:kern w:val="0"/>
          <w:sz w:val="24"/>
          <w:highlight w:val="none"/>
        </w:rPr>
        <w:t>（格式详见</w:t>
      </w:r>
      <w:r>
        <w:rPr>
          <w:rFonts w:hint="eastAsia" w:ascii="宋体" w:hAnsi="宋体"/>
          <w:sz w:val="24"/>
          <w:highlight w:val="none"/>
        </w:rPr>
        <w:t>附件四-3、四-4打印且加盖单位公章及法人签字或盖章</w:t>
      </w:r>
      <w:r>
        <w:rPr>
          <w:rFonts w:hint="eastAsia" w:ascii="宋体" w:hAnsi="宋体" w:cs="宋体"/>
          <w:color w:val="000000"/>
          <w:kern w:val="0"/>
          <w:sz w:val="24"/>
          <w:highlight w:val="none"/>
        </w:rPr>
        <w:t>）</w:t>
      </w:r>
    </w:p>
    <w:p>
      <w:pPr>
        <w:numPr>
          <w:ilvl w:val="0"/>
          <w:numId w:val="3"/>
        </w:num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注册建造师证书（注册建造师证书相关官方系统平台可以查询的，以系统打印件加盖投标单位公章为准）；</w:t>
      </w:r>
    </w:p>
    <w:p>
      <w:pPr>
        <w:pStyle w:val="45"/>
        <w:numPr>
          <w:ilvl w:val="0"/>
          <w:numId w:val="3"/>
        </w:numPr>
        <w:spacing w:line="360" w:lineRule="auto"/>
        <w:ind w:firstLine="480" w:firstLineChars="200"/>
        <w:rPr>
          <w:rFonts w:ascii="宋体" w:hAnsi="宋体"/>
          <w:sz w:val="24"/>
          <w:highlight w:val="none"/>
        </w:rPr>
      </w:pPr>
      <w:r>
        <w:rPr>
          <w:rFonts w:hint="eastAsia" w:ascii="宋体" w:hAnsi="宋体"/>
          <w:sz w:val="24"/>
          <w:highlight w:val="none"/>
        </w:rPr>
        <w:t>注册建造师安全生产考核合格证（B 类证书）；（注册建造师安全生产考核合格证书相关官方系统平台可以查询的，以系统打印件加盖投标单位公章为准）</w:t>
      </w:r>
    </w:p>
    <w:p>
      <w:pPr>
        <w:pStyle w:val="45"/>
        <w:numPr>
          <w:ilvl w:val="0"/>
          <w:numId w:val="3"/>
        </w:numPr>
        <w:spacing w:line="360" w:lineRule="auto"/>
        <w:ind w:firstLine="480" w:firstLineChars="200"/>
        <w:rPr>
          <w:rFonts w:ascii="宋体" w:hAnsi="宋体"/>
          <w:color w:val="FF0000"/>
          <w:sz w:val="24"/>
          <w:highlight w:val="none"/>
          <w:u w:val="single"/>
        </w:rPr>
      </w:pPr>
      <w:r>
        <w:rPr>
          <w:rFonts w:hint="eastAsia" w:ascii="宋体" w:hAnsi="宋体"/>
          <w:sz w:val="24"/>
          <w:highlight w:val="none"/>
        </w:rPr>
        <w:t>投标人法定代表人的授权委托人、项目负责人必须为本单位人员且在投标时提供</w:t>
      </w:r>
      <w:r>
        <w:rPr>
          <w:rFonts w:hint="eastAsia" w:ascii="宋体" w:hAnsi="宋体"/>
          <w:sz w:val="24"/>
          <w:highlight w:val="none"/>
          <w:lang w:eastAsia="zh-CN"/>
        </w:rPr>
        <w:t>2023年</w:t>
      </w:r>
      <w:r>
        <w:rPr>
          <w:rFonts w:hint="eastAsia" w:ascii="宋体" w:hAnsi="宋体"/>
          <w:sz w:val="24"/>
          <w:highlight w:val="none"/>
          <w:lang w:val="en-US" w:eastAsia="zh-CN"/>
        </w:rPr>
        <w:t>7</w:t>
      </w:r>
      <w:r>
        <w:rPr>
          <w:rFonts w:hint="eastAsia" w:ascii="宋体" w:hAnsi="宋体"/>
          <w:sz w:val="24"/>
          <w:highlight w:val="none"/>
          <w:lang w:eastAsia="zh-CN"/>
        </w:rPr>
        <w:t>月至2023年</w:t>
      </w:r>
      <w:r>
        <w:rPr>
          <w:rFonts w:hint="eastAsia" w:ascii="宋体" w:hAnsi="宋体"/>
          <w:sz w:val="24"/>
          <w:highlight w:val="none"/>
          <w:lang w:val="en-US" w:eastAsia="zh-CN"/>
        </w:rPr>
        <w:t>9</w:t>
      </w:r>
      <w:r>
        <w:rPr>
          <w:rFonts w:hint="eastAsia" w:ascii="宋体" w:hAnsi="宋体"/>
          <w:sz w:val="24"/>
          <w:highlight w:val="none"/>
          <w:lang w:eastAsia="zh-CN"/>
        </w:rPr>
        <w:t>月</w:t>
      </w:r>
      <w:r>
        <w:rPr>
          <w:rFonts w:hint="eastAsia" w:ascii="宋体" w:hAnsi="宋体"/>
          <w:sz w:val="24"/>
          <w:highlight w:val="none"/>
        </w:rPr>
        <w:t>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r>
        <w:rPr>
          <w:rFonts w:hint="eastAsia" w:ascii="宋体" w:hAnsi="宋体"/>
          <w:b/>
          <w:sz w:val="24"/>
          <w:highlight w:val="none"/>
        </w:rPr>
        <w:t>对无二维码扫描验证的社保证明，需提供社保证明查询验证途径。二维码和查询验证途径应能正常查验，对无法查验的，按无养老保险缴费证明处理。</w:t>
      </w:r>
    </w:p>
    <w:p>
      <w:pPr>
        <w:pStyle w:val="45"/>
        <w:numPr>
          <w:ilvl w:val="0"/>
          <w:numId w:val="3"/>
        </w:numPr>
        <w:spacing w:line="360" w:lineRule="auto"/>
        <w:ind w:firstLine="480" w:firstLineChars="200"/>
        <w:rPr>
          <w:rFonts w:ascii="宋体" w:hAnsi="宋体"/>
          <w:sz w:val="24"/>
          <w:highlight w:val="none"/>
        </w:rPr>
      </w:pPr>
      <w:r>
        <w:rPr>
          <w:rFonts w:hint="eastAsia" w:ascii="宋体" w:hAnsi="宋体" w:cs="宋体"/>
          <w:color w:val="000000"/>
          <w:sz w:val="24"/>
          <w:highlight w:val="none"/>
        </w:rPr>
        <w:t>投标人承诺书原件（格式详见附件四-5）。</w:t>
      </w:r>
    </w:p>
    <w:p>
      <w:pPr>
        <w:widowControl/>
        <w:spacing w:line="400" w:lineRule="exact"/>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br w:type="page"/>
      </w: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4"/>
        </w:numPr>
        <w:tabs>
          <w:tab w:val="left" w:pos="432"/>
        </w:tabs>
        <w:snapToGrid w:val="0"/>
        <w:spacing w:before="120" w:after="240" w:line="360" w:lineRule="auto"/>
        <w:ind w:left="0" w:firstLine="0"/>
        <w:jc w:val="center"/>
        <w:outlineLvl w:val="2"/>
        <w:rPr>
          <w:rFonts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ascii="宋体" w:hAnsi="宋体"/>
          <w:color w:val="000000"/>
          <w:szCs w:val="21"/>
          <w:highlight w:val="none"/>
        </w:rPr>
      </w:pPr>
    </w:p>
    <w:p>
      <w:pPr>
        <w:spacing w:line="460" w:lineRule="exact"/>
        <w:ind w:firstLine="645"/>
        <w:rPr>
          <w:rFonts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ascii="宋体" w:hAnsi="宋体"/>
          <w:color w:val="000000"/>
          <w:szCs w:val="21"/>
          <w:highlight w:val="none"/>
        </w:rPr>
      </w:pPr>
    </w:p>
    <w:p>
      <w:pPr>
        <w:spacing w:line="460" w:lineRule="exact"/>
        <w:ind w:firstLine="645"/>
        <w:rPr>
          <w:rFonts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ascii="宋体" w:hAnsi="宋体"/>
          <w:color w:val="000000"/>
          <w:szCs w:val="21"/>
          <w:highlight w:val="none"/>
        </w:rPr>
      </w:pPr>
    </w:p>
    <w:p>
      <w:pPr>
        <w:snapToGrid w:val="0"/>
        <w:spacing w:line="460" w:lineRule="exact"/>
        <w:ind w:firstLine="945" w:firstLineChars="450"/>
        <w:rPr>
          <w:rFonts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ascii="宋体" w:hAnsi="宋体"/>
          <w:color w:val="000000"/>
          <w:szCs w:val="21"/>
          <w:highlight w:val="none"/>
        </w:rPr>
      </w:pPr>
    </w:p>
    <w:p>
      <w:pPr>
        <w:snapToGrid w:val="0"/>
        <w:spacing w:line="460" w:lineRule="exact"/>
        <w:ind w:firstLine="315" w:firstLineChars="150"/>
        <w:rPr>
          <w:rFonts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ascii="宋体" w:hAnsi="宋体"/>
          <w:color w:val="000000"/>
          <w:szCs w:val="21"/>
          <w:highlight w:val="none"/>
        </w:rPr>
      </w:pPr>
    </w:p>
    <w:p>
      <w:pPr>
        <w:snapToGrid w:val="0"/>
        <w:ind w:firstLine="420" w:firstLineChars="200"/>
        <w:rPr>
          <w:rFonts w:ascii="宋体" w:hAnsi="宋体"/>
          <w:color w:val="000000"/>
          <w:szCs w:val="21"/>
          <w:highlight w:val="none"/>
        </w:rPr>
      </w:pPr>
    </w:p>
    <w:p>
      <w:pPr>
        <w:snapToGrid w:val="0"/>
        <w:ind w:firstLine="420" w:firstLineChars="200"/>
        <w:rPr>
          <w:rFonts w:ascii="宋体" w:hAnsi="宋体"/>
          <w:color w:val="000000"/>
          <w:szCs w:val="21"/>
          <w:highlight w:val="none"/>
        </w:rPr>
      </w:pPr>
    </w:p>
    <w:p>
      <w:pPr>
        <w:snapToGrid w:val="0"/>
        <w:rPr>
          <w:rFonts w:ascii="宋体" w:hAnsi="宋体"/>
          <w:color w:val="000000"/>
          <w:szCs w:val="21"/>
          <w:highlight w:val="none"/>
        </w:rPr>
      </w:pPr>
    </w:p>
    <w:p>
      <w:pPr>
        <w:snapToGrid w:val="0"/>
        <w:ind w:firstLine="630" w:firstLineChars="300"/>
        <w:jc w:val="center"/>
        <w:rPr>
          <w:rFonts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ascii="宋体" w:hAnsi="宋体"/>
          <w:color w:val="000000"/>
          <w:szCs w:val="21"/>
          <w:highlight w:val="none"/>
        </w:rPr>
      </w:pPr>
    </w:p>
    <w:p>
      <w:pPr>
        <w:snapToGrid w:val="0"/>
        <w:ind w:firstLine="630" w:firstLineChars="300"/>
        <w:jc w:val="center"/>
        <w:rPr>
          <w:rFonts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5"/>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p>
    <w:p>
      <w:pPr>
        <w:spacing w:line="500" w:lineRule="exact"/>
        <w:rPr>
          <w:rFonts w:ascii="宋体" w:hAnsi="宋体"/>
          <w:szCs w:val="21"/>
          <w:highlight w:val="none"/>
        </w:rPr>
      </w:pPr>
      <w:r>
        <w:rPr>
          <w:rFonts w:hint="eastAsia" w:ascii="宋体" w:hAnsi="宋体"/>
          <w:szCs w:val="21"/>
          <w:highlight w:val="none"/>
        </w:rPr>
        <w:t>成立时间：年月日</w:t>
      </w:r>
    </w:p>
    <w:p>
      <w:pPr>
        <w:spacing w:line="500" w:lineRule="exact"/>
        <w:rPr>
          <w:rFonts w:ascii="宋体" w:hAnsi="宋体"/>
          <w:szCs w:val="21"/>
          <w:highlight w:val="none"/>
        </w:rPr>
      </w:pPr>
      <w:r>
        <w:rPr>
          <w:rFonts w:hint="eastAsia" w:ascii="宋体" w:hAnsi="宋体"/>
          <w:szCs w:val="21"/>
          <w:highlight w:val="none"/>
        </w:rPr>
        <w:t>经营期限：</w:t>
      </w:r>
    </w:p>
    <w:p>
      <w:pPr>
        <w:spacing w:line="500" w:lineRule="exact"/>
        <w:rPr>
          <w:rFonts w:ascii="宋体" w:hAnsi="宋体"/>
          <w:szCs w:val="21"/>
          <w:highlight w:val="none"/>
        </w:rPr>
      </w:pPr>
      <w:r>
        <w:rPr>
          <w:rFonts w:hint="eastAsia" w:ascii="宋体" w:hAnsi="宋体"/>
          <w:szCs w:val="21"/>
          <w:highlight w:val="none"/>
        </w:rPr>
        <w:t>姓名：  性别：  年龄：  职务：</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年月日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 w:val="30"/>
          <w:szCs w:val="30"/>
          <w:highlight w:val="none"/>
        </w:rPr>
      </w:pP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本人（姓名）系（投标人名称）的法定代表人，现委托（姓名）为我方代理人。代理人根据授权，以我方名义签署、澄清</w:t>
      </w:r>
      <w:r>
        <w:rPr>
          <w:rFonts w:hint="eastAsia"/>
          <w:szCs w:val="21"/>
          <w:highlight w:val="none"/>
        </w:rPr>
        <w:t>、说明、补正</w:t>
      </w:r>
      <w:r>
        <w:rPr>
          <w:szCs w:val="21"/>
          <w:highlight w:val="none"/>
        </w:rPr>
        <w:t>、递交、撤回、修改（项目名称）投标文件、签订合同和处理有关事宜，其法律后果由我方承担。</w:t>
      </w:r>
    </w:p>
    <w:p>
      <w:pPr>
        <w:spacing w:line="440" w:lineRule="exact"/>
        <w:rPr>
          <w:szCs w:val="21"/>
          <w:highlight w:val="none"/>
        </w:rPr>
      </w:pPr>
      <w:r>
        <w:rPr>
          <w:rFonts w:hint="eastAsia"/>
          <w:szCs w:val="21"/>
          <w:highlight w:val="none"/>
        </w:rPr>
        <w:t>委托期限：。</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委托代理人：（签字或盖章）</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rFonts w:hint="eastAsia"/>
          <w:szCs w:val="21"/>
          <w:highlight w:val="none"/>
        </w:rPr>
        <w:t>年月日</w:t>
      </w:r>
    </w:p>
    <w:p>
      <w:pPr>
        <w:autoSpaceDN w:val="0"/>
        <w:spacing w:line="400" w:lineRule="exact"/>
        <w:textAlignment w:val="baseline"/>
        <w:rPr>
          <w:highlight w:val="none"/>
        </w:rPr>
      </w:pPr>
    </w:p>
    <w:p>
      <w:pPr>
        <w:autoSpaceDN w:val="0"/>
        <w:spacing w:line="400" w:lineRule="exact"/>
        <w:textAlignment w:val="baseline"/>
        <w:rPr>
          <w:highlight w:val="none"/>
        </w:rPr>
      </w:pPr>
    </w:p>
    <w:p>
      <w:pPr>
        <w:autoSpaceDN w:val="0"/>
        <w:spacing w:line="400" w:lineRule="exact"/>
        <w:textAlignment w:val="baseline"/>
        <w:rPr>
          <w:highlight w:val="none"/>
        </w:rPr>
      </w:pPr>
    </w:p>
    <w:p>
      <w:pPr>
        <w:widowControl/>
        <w:jc w:val="left"/>
        <w:rPr>
          <w:rFonts w:ascii="宋体" w:hAnsi="宋体"/>
          <w:b/>
          <w:bCs/>
          <w:kern w:val="0"/>
          <w:sz w:val="28"/>
          <w:highlight w:val="none"/>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keepNext w:val="0"/>
        <w:keepLines w:val="0"/>
        <w:pageBreakBefore w:val="0"/>
        <w:widowControl w:val="0"/>
        <w:kinsoku/>
        <w:wordWrap/>
        <w:overflowPunct/>
        <w:topLinePunct/>
        <w:autoSpaceDE/>
        <w:autoSpaceDN/>
        <w:bidi w:val="0"/>
        <w:adjustRightInd/>
        <w:snapToGrid/>
        <w:spacing w:line="440" w:lineRule="exact"/>
        <w:ind w:firstLine="0" w:firstLineChars="0"/>
        <w:jc w:val="center"/>
        <w:textAlignment w:val="auto"/>
        <w:rPr>
          <w:rFonts w:ascii="宋体" w:hAnsi="宋体"/>
          <w:b/>
          <w:bCs/>
          <w:kern w:val="0"/>
          <w:sz w:val="28"/>
          <w:highlight w:val="none"/>
        </w:rPr>
      </w:pPr>
      <w:r>
        <w:rPr>
          <w:rFonts w:hint="eastAsia" w:ascii="宋体" w:hAnsi="宋体"/>
          <w:b/>
          <w:bCs/>
          <w:kern w:val="0"/>
          <w:sz w:val="28"/>
          <w:highlight w:val="none"/>
        </w:rPr>
        <w:t>(三)投标人承诺书</w:t>
      </w:r>
    </w:p>
    <w:p>
      <w:pPr>
        <w:topLinePunct/>
        <w:spacing w:line="276" w:lineRule="auto"/>
        <w:ind w:firstLine="420" w:firstLineChars="200"/>
        <w:rPr>
          <w:rFonts w:hint="eastAsia" w:ascii="宋体" w:hAnsi="宋体" w:eastAsia="宋体" w:cs="宋体"/>
          <w:szCs w:val="21"/>
          <w:highlight w:val="none"/>
        </w:rPr>
      </w:pP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致：___________________________（招标人名称）</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我单位参与贵单位_______________________________工程项目的投标，我单位及我单位法定代表人，均清楚知晓我单位本项目投标活动，我方郑重承诺：</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1、我方拟派项目负责人未同时在两个或两个以上单位受聘或者执业且无在建工程，项目负责人中标后不影响办理工程建设手续且按招标文件约定在岗履职。</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2、我方不存在近 3 年内有行贿犯罪行为且被记录；法定代表人和项目负责人均不存在近 5 年内有行贿犯罪行为且被记录。</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3、我方不存在《省住房城乡建设厅关于开展建筑业企业资质动态监管工作的公告》（〔2018〕第 6 号）、《省住房城乡建设厅关于建筑业企业资质动态监管不合格企业参加招投标相关事宜的复函》（苏建函建管〔2019〕233 号）文件规定的，不能参加招投标的情形。</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4、我方在投标全过程（含异议、投诉环节）提供的所有资料均是真实、有效、合法的，无弄虚作假行为。</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5、我方及我方法定代表人在本项目招标投标活动中，完全响应及认可招标文件（含答疑及补充等），均不存在、也未参与任何围标串标活动，也不存在以他人名义投标的行为，没有出借资质等违法违规行为。</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 10 分钟内无法与管理端建立起联系的，即视为放弃交互的权利，我方认可招标人任意处置决定，接受包括终止投标资格在内的任何处理结果。</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7、我方财务和经营状况良好，具备履行合同能力，未处于被责令停业、投标资格被取消或者财产被接管、冻结和破产状态。</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8、我方在招投标期间，如果涉及异议或投诉，将严格按照法律法规规章及规范性文件的规定执行，否则，招标人或有关行政监督部门可以不予受理。</w:t>
      </w:r>
    </w:p>
    <w:p>
      <w:pPr>
        <w:topLinePunct/>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9、我方如果涉及异议或投诉，将由本单位法定代表人在异议或投诉书中真实署名并实际参与招标人或有关行政监督部门的质询。</w:t>
      </w:r>
    </w:p>
    <w:p>
      <w:pPr>
        <w:widowControl/>
        <w:spacing w:line="276"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我方承诺内容包括但不限于以上条款，若我方违反上述任意承诺条款、本招标文件的约定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pPr>
        <w:widowControl/>
        <w:spacing w:line="276" w:lineRule="auto"/>
        <w:jc w:val="center"/>
        <w:rPr>
          <w:rFonts w:hint="eastAsia" w:ascii="宋体" w:hAnsi="宋体" w:eastAsia="宋体" w:cs="宋体"/>
          <w:szCs w:val="21"/>
          <w:highlight w:val="none"/>
        </w:rPr>
      </w:pPr>
    </w:p>
    <w:p>
      <w:pPr>
        <w:widowControl/>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      投标人（盖章）：</w:t>
      </w:r>
    </w:p>
    <w:p>
      <w:pPr>
        <w:widowControl/>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          法定代表人（签字）：</w:t>
      </w:r>
    </w:p>
    <w:p>
      <w:pPr>
        <w:widowControl/>
        <w:spacing w:line="276" w:lineRule="auto"/>
        <w:ind w:firstLine="4252" w:firstLineChars="2025"/>
        <w:jc w:val="left"/>
        <w:rPr>
          <w:rFonts w:hint="eastAsia" w:ascii="宋体" w:hAnsi="宋体" w:eastAsia="宋体" w:cs="宋体"/>
          <w:kern w:val="0"/>
          <w:sz w:val="24"/>
          <w:highlight w:val="none"/>
        </w:rPr>
      </w:pPr>
      <w:r>
        <w:rPr>
          <w:rFonts w:hint="eastAsia" w:ascii="宋体" w:hAnsi="宋体" w:eastAsia="宋体" w:cs="宋体"/>
          <w:szCs w:val="21"/>
          <w:highlight w:val="none"/>
        </w:rPr>
        <w:t>日期： 年 月 日</w:t>
      </w: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279FD"/>
    <w:multiLevelType w:val="singleLevel"/>
    <w:tmpl w:val="F9B279FD"/>
    <w:lvl w:ilvl="0" w:tentative="0">
      <w:start w:val="1"/>
      <w:numFmt w:val="decimal"/>
      <w:suff w:val="nothing"/>
      <w:lvlText w:val="%1．"/>
      <w:lvlJc w:val="left"/>
      <w:pPr>
        <w:ind w:left="0" w:firstLine="400"/>
      </w:pPr>
      <w:rPr>
        <w:rFonts w:hint="default"/>
        <w:color w:val="auto"/>
      </w:rPr>
    </w:lvl>
  </w:abstractNum>
  <w:abstractNum w:abstractNumId="1">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30334172"/>
    <w:multiLevelType w:val="multilevel"/>
    <w:tmpl w:val="30334172"/>
    <w:lvl w:ilvl="0" w:tentative="0">
      <w:start w:val="5"/>
      <w:numFmt w:val="japaneseCounting"/>
      <w:lvlText w:val="%1、"/>
      <w:lvlJc w:val="left"/>
      <w:pPr>
        <w:ind w:left="906" w:hanging="48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BmZWY2ODcyMDQzMWRjODdkM2EwZTg2Y2IyN2NlZTAifQ=="/>
  </w:docVars>
  <w:rsids>
    <w:rsidRoot w:val="005253AF"/>
    <w:rsid w:val="00000066"/>
    <w:rsid w:val="00004154"/>
    <w:rsid w:val="00005FCA"/>
    <w:rsid w:val="00010A0A"/>
    <w:rsid w:val="00011811"/>
    <w:rsid w:val="00012B82"/>
    <w:rsid w:val="000273AC"/>
    <w:rsid w:val="000376F1"/>
    <w:rsid w:val="00042253"/>
    <w:rsid w:val="00047AFF"/>
    <w:rsid w:val="00047B17"/>
    <w:rsid w:val="00051948"/>
    <w:rsid w:val="00063494"/>
    <w:rsid w:val="00066C4A"/>
    <w:rsid w:val="000768D9"/>
    <w:rsid w:val="00081364"/>
    <w:rsid w:val="00085C44"/>
    <w:rsid w:val="0008629E"/>
    <w:rsid w:val="00093008"/>
    <w:rsid w:val="000A441F"/>
    <w:rsid w:val="000A445B"/>
    <w:rsid w:val="000A7775"/>
    <w:rsid w:val="000B0701"/>
    <w:rsid w:val="000C223B"/>
    <w:rsid w:val="000C2F84"/>
    <w:rsid w:val="000D46E7"/>
    <w:rsid w:val="000D7211"/>
    <w:rsid w:val="000D75B1"/>
    <w:rsid w:val="000E440C"/>
    <w:rsid w:val="000F661D"/>
    <w:rsid w:val="000F6C87"/>
    <w:rsid w:val="00103264"/>
    <w:rsid w:val="0010633A"/>
    <w:rsid w:val="0011681B"/>
    <w:rsid w:val="001203AD"/>
    <w:rsid w:val="0012261F"/>
    <w:rsid w:val="00122BCF"/>
    <w:rsid w:val="00127A76"/>
    <w:rsid w:val="00131BB9"/>
    <w:rsid w:val="00143EA2"/>
    <w:rsid w:val="00145713"/>
    <w:rsid w:val="00155333"/>
    <w:rsid w:val="00176E13"/>
    <w:rsid w:val="00176FFB"/>
    <w:rsid w:val="0018506A"/>
    <w:rsid w:val="001933D9"/>
    <w:rsid w:val="001A503E"/>
    <w:rsid w:val="001A50EC"/>
    <w:rsid w:val="001B20DA"/>
    <w:rsid w:val="001B7325"/>
    <w:rsid w:val="001C2A21"/>
    <w:rsid w:val="001C7310"/>
    <w:rsid w:val="001D0475"/>
    <w:rsid w:val="001D2B32"/>
    <w:rsid w:val="001D3D18"/>
    <w:rsid w:val="001E2A8A"/>
    <w:rsid w:val="001E5D36"/>
    <w:rsid w:val="001F0128"/>
    <w:rsid w:val="001F34F1"/>
    <w:rsid w:val="00213A1E"/>
    <w:rsid w:val="0021642D"/>
    <w:rsid w:val="002169E6"/>
    <w:rsid w:val="00217DD0"/>
    <w:rsid w:val="00226A50"/>
    <w:rsid w:val="00233906"/>
    <w:rsid w:val="002442E6"/>
    <w:rsid w:val="00246095"/>
    <w:rsid w:val="00247B8E"/>
    <w:rsid w:val="00256EEB"/>
    <w:rsid w:val="0026322C"/>
    <w:rsid w:val="00270C3C"/>
    <w:rsid w:val="00275414"/>
    <w:rsid w:val="002900E9"/>
    <w:rsid w:val="002B3044"/>
    <w:rsid w:val="002B3F60"/>
    <w:rsid w:val="002D18BB"/>
    <w:rsid w:val="002D2EC4"/>
    <w:rsid w:val="002E3E6D"/>
    <w:rsid w:val="002E46D9"/>
    <w:rsid w:val="002E579E"/>
    <w:rsid w:val="002E5E63"/>
    <w:rsid w:val="00301269"/>
    <w:rsid w:val="00307AD5"/>
    <w:rsid w:val="003167E7"/>
    <w:rsid w:val="00326699"/>
    <w:rsid w:val="00334173"/>
    <w:rsid w:val="00341A0F"/>
    <w:rsid w:val="003478D9"/>
    <w:rsid w:val="0035398F"/>
    <w:rsid w:val="0035663E"/>
    <w:rsid w:val="00370014"/>
    <w:rsid w:val="00370565"/>
    <w:rsid w:val="003715C9"/>
    <w:rsid w:val="003716EC"/>
    <w:rsid w:val="0039126E"/>
    <w:rsid w:val="00392555"/>
    <w:rsid w:val="00393473"/>
    <w:rsid w:val="00395F13"/>
    <w:rsid w:val="003A05D8"/>
    <w:rsid w:val="003A6499"/>
    <w:rsid w:val="003B1FFF"/>
    <w:rsid w:val="003B3D4E"/>
    <w:rsid w:val="003B4679"/>
    <w:rsid w:val="003D2AC0"/>
    <w:rsid w:val="003D6962"/>
    <w:rsid w:val="003D7196"/>
    <w:rsid w:val="003E0D5D"/>
    <w:rsid w:val="00404F56"/>
    <w:rsid w:val="004131E6"/>
    <w:rsid w:val="00423762"/>
    <w:rsid w:val="00426F9A"/>
    <w:rsid w:val="00434587"/>
    <w:rsid w:val="00435380"/>
    <w:rsid w:val="004403A8"/>
    <w:rsid w:val="00442155"/>
    <w:rsid w:val="00447A8C"/>
    <w:rsid w:val="00457104"/>
    <w:rsid w:val="004645E6"/>
    <w:rsid w:val="004674E1"/>
    <w:rsid w:val="00473472"/>
    <w:rsid w:val="00494439"/>
    <w:rsid w:val="004A29CA"/>
    <w:rsid w:val="004A3D7E"/>
    <w:rsid w:val="004A79FE"/>
    <w:rsid w:val="004C224B"/>
    <w:rsid w:val="004D31CA"/>
    <w:rsid w:val="004D7B02"/>
    <w:rsid w:val="004E220D"/>
    <w:rsid w:val="004E7394"/>
    <w:rsid w:val="004F0DDA"/>
    <w:rsid w:val="004F79FC"/>
    <w:rsid w:val="00504B23"/>
    <w:rsid w:val="00505671"/>
    <w:rsid w:val="005071B9"/>
    <w:rsid w:val="00507BA4"/>
    <w:rsid w:val="0051632B"/>
    <w:rsid w:val="00520DDE"/>
    <w:rsid w:val="005253AF"/>
    <w:rsid w:val="00530C85"/>
    <w:rsid w:val="00532B03"/>
    <w:rsid w:val="00532C8F"/>
    <w:rsid w:val="00564B9B"/>
    <w:rsid w:val="00571113"/>
    <w:rsid w:val="0057429D"/>
    <w:rsid w:val="00593D01"/>
    <w:rsid w:val="00594A13"/>
    <w:rsid w:val="0059510F"/>
    <w:rsid w:val="005975FB"/>
    <w:rsid w:val="005A2DB6"/>
    <w:rsid w:val="005A3B99"/>
    <w:rsid w:val="005A4EAA"/>
    <w:rsid w:val="005A5CE3"/>
    <w:rsid w:val="005B6674"/>
    <w:rsid w:val="005C3BD1"/>
    <w:rsid w:val="005C42CD"/>
    <w:rsid w:val="005D020E"/>
    <w:rsid w:val="005D0D33"/>
    <w:rsid w:val="005D5A54"/>
    <w:rsid w:val="005E502D"/>
    <w:rsid w:val="005F023E"/>
    <w:rsid w:val="005F352A"/>
    <w:rsid w:val="005F748E"/>
    <w:rsid w:val="005F777F"/>
    <w:rsid w:val="00602061"/>
    <w:rsid w:val="00602586"/>
    <w:rsid w:val="00610AEC"/>
    <w:rsid w:val="00612CA9"/>
    <w:rsid w:val="00626E1F"/>
    <w:rsid w:val="00627999"/>
    <w:rsid w:val="00631EA2"/>
    <w:rsid w:val="0063765B"/>
    <w:rsid w:val="00650D74"/>
    <w:rsid w:val="00652452"/>
    <w:rsid w:val="00652CE9"/>
    <w:rsid w:val="006668C0"/>
    <w:rsid w:val="00667929"/>
    <w:rsid w:val="00667A20"/>
    <w:rsid w:val="00691218"/>
    <w:rsid w:val="0069617C"/>
    <w:rsid w:val="006A075B"/>
    <w:rsid w:val="006A4CB9"/>
    <w:rsid w:val="006B02C7"/>
    <w:rsid w:val="006B0EF7"/>
    <w:rsid w:val="006B3B34"/>
    <w:rsid w:val="006C4ADC"/>
    <w:rsid w:val="006C615C"/>
    <w:rsid w:val="006D0359"/>
    <w:rsid w:val="006D600D"/>
    <w:rsid w:val="006E178A"/>
    <w:rsid w:val="006F36AC"/>
    <w:rsid w:val="006F4ED3"/>
    <w:rsid w:val="007020C3"/>
    <w:rsid w:val="00712936"/>
    <w:rsid w:val="00714281"/>
    <w:rsid w:val="00720251"/>
    <w:rsid w:val="007243C9"/>
    <w:rsid w:val="0072586E"/>
    <w:rsid w:val="0073266F"/>
    <w:rsid w:val="00737862"/>
    <w:rsid w:val="007541C7"/>
    <w:rsid w:val="00756981"/>
    <w:rsid w:val="007600E5"/>
    <w:rsid w:val="007608B5"/>
    <w:rsid w:val="00765E17"/>
    <w:rsid w:val="00773829"/>
    <w:rsid w:val="00775E83"/>
    <w:rsid w:val="00776802"/>
    <w:rsid w:val="0079218E"/>
    <w:rsid w:val="007935E9"/>
    <w:rsid w:val="00793E43"/>
    <w:rsid w:val="00797A35"/>
    <w:rsid w:val="007A3A4B"/>
    <w:rsid w:val="007B5BE7"/>
    <w:rsid w:val="007D2C01"/>
    <w:rsid w:val="007F0C1F"/>
    <w:rsid w:val="007F2840"/>
    <w:rsid w:val="007F3C4F"/>
    <w:rsid w:val="007F4288"/>
    <w:rsid w:val="007F465A"/>
    <w:rsid w:val="007F66A5"/>
    <w:rsid w:val="008017B6"/>
    <w:rsid w:val="008035B1"/>
    <w:rsid w:val="008160D8"/>
    <w:rsid w:val="008322C6"/>
    <w:rsid w:val="00834151"/>
    <w:rsid w:val="00837120"/>
    <w:rsid w:val="008406D5"/>
    <w:rsid w:val="008464E5"/>
    <w:rsid w:val="00855682"/>
    <w:rsid w:val="00857F75"/>
    <w:rsid w:val="008625AC"/>
    <w:rsid w:val="008673F9"/>
    <w:rsid w:val="008704E0"/>
    <w:rsid w:val="00883BAB"/>
    <w:rsid w:val="008919E9"/>
    <w:rsid w:val="00897649"/>
    <w:rsid w:val="008A7F9D"/>
    <w:rsid w:val="008C23FA"/>
    <w:rsid w:val="008C39F7"/>
    <w:rsid w:val="008C7A31"/>
    <w:rsid w:val="008D0CC8"/>
    <w:rsid w:val="008D14D5"/>
    <w:rsid w:val="008D3E85"/>
    <w:rsid w:val="008F5FAE"/>
    <w:rsid w:val="0090090C"/>
    <w:rsid w:val="009112DD"/>
    <w:rsid w:val="00913A97"/>
    <w:rsid w:val="00914574"/>
    <w:rsid w:val="00964794"/>
    <w:rsid w:val="009678C5"/>
    <w:rsid w:val="0098086B"/>
    <w:rsid w:val="009847D3"/>
    <w:rsid w:val="00986B97"/>
    <w:rsid w:val="0099379D"/>
    <w:rsid w:val="00994E3D"/>
    <w:rsid w:val="0099618D"/>
    <w:rsid w:val="0099707C"/>
    <w:rsid w:val="009A308D"/>
    <w:rsid w:val="009B04C5"/>
    <w:rsid w:val="009C59F8"/>
    <w:rsid w:val="009D567B"/>
    <w:rsid w:val="009E4F9C"/>
    <w:rsid w:val="009F0224"/>
    <w:rsid w:val="009F73AC"/>
    <w:rsid w:val="00A20584"/>
    <w:rsid w:val="00A26BFA"/>
    <w:rsid w:val="00A32620"/>
    <w:rsid w:val="00A3677E"/>
    <w:rsid w:val="00A62A00"/>
    <w:rsid w:val="00A62A1A"/>
    <w:rsid w:val="00A631A2"/>
    <w:rsid w:val="00A71417"/>
    <w:rsid w:val="00A717BC"/>
    <w:rsid w:val="00A7248A"/>
    <w:rsid w:val="00A85B5B"/>
    <w:rsid w:val="00A9291D"/>
    <w:rsid w:val="00AA1DF4"/>
    <w:rsid w:val="00AA2B84"/>
    <w:rsid w:val="00AB238C"/>
    <w:rsid w:val="00AC4255"/>
    <w:rsid w:val="00AC4B32"/>
    <w:rsid w:val="00AC5A4B"/>
    <w:rsid w:val="00AD2362"/>
    <w:rsid w:val="00AD7EB5"/>
    <w:rsid w:val="00AE5406"/>
    <w:rsid w:val="00AE650F"/>
    <w:rsid w:val="00AE7DF9"/>
    <w:rsid w:val="00AF074C"/>
    <w:rsid w:val="00AF144E"/>
    <w:rsid w:val="00AF1F0B"/>
    <w:rsid w:val="00AF3571"/>
    <w:rsid w:val="00B01445"/>
    <w:rsid w:val="00B03330"/>
    <w:rsid w:val="00B073B3"/>
    <w:rsid w:val="00B1526A"/>
    <w:rsid w:val="00B26294"/>
    <w:rsid w:val="00B301C3"/>
    <w:rsid w:val="00B42200"/>
    <w:rsid w:val="00B60002"/>
    <w:rsid w:val="00B61455"/>
    <w:rsid w:val="00B64A56"/>
    <w:rsid w:val="00B676C5"/>
    <w:rsid w:val="00B9280F"/>
    <w:rsid w:val="00BA016D"/>
    <w:rsid w:val="00BA667B"/>
    <w:rsid w:val="00BB098E"/>
    <w:rsid w:val="00BB6270"/>
    <w:rsid w:val="00BB74BE"/>
    <w:rsid w:val="00BD25A5"/>
    <w:rsid w:val="00BD553C"/>
    <w:rsid w:val="00BE39CA"/>
    <w:rsid w:val="00BF28A2"/>
    <w:rsid w:val="00BF3784"/>
    <w:rsid w:val="00C00D6E"/>
    <w:rsid w:val="00C03C57"/>
    <w:rsid w:val="00C0415B"/>
    <w:rsid w:val="00C04609"/>
    <w:rsid w:val="00C04AC9"/>
    <w:rsid w:val="00C04BB7"/>
    <w:rsid w:val="00C06065"/>
    <w:rsid w:val="00C10938"/>
    <w:rsid w:val="00C13475"/>
    <w:rsid w:val="00C13756"/>
    <w:rsid w:val="00C16A2F"/>
    <w:rsid w:val="00C22179"/>
    <w:rsid w:val="00C31AFA"/>
    <w:rsid w:val="00C378D5"/>
    <w:rsid w:val="00C40A0C"/>
    <w:rsid w:val="00C45F87"/>
    <w:rsid w:val="00C478AE"/>
    <w:rsid w:val="00C52467"/>
    <w:rsid w:val="00C5392A"/>
    <w:rsid w:val="00C56380"/>
    <w:rsid w:val="00C60087"/>
    <w:rsid w:val="00C6166D"/>
    <w:rsid w:val="00C8049F"/>
    <w:rsid w:val="00C85A55"/>
    <w:rsid w:val="00C91259"/>
    <w:rsid w:val="00C917BD"/>
    <w:rsid w:val="00CA0BA0"/>
    <w:rsid w:val="00CA1B10"/>
    <w:rsid w:val="00CB1187"/>
    <w:rsid w:val="00CB43FA"/>
    <w:rsid w:val="00CD2548"/>
    <w:rsid w:val="00CF55C5"/>
    <w:rsid w:val="00CF6D82"/>
    <w:rsid w:val="00D05781"/>
    <w:rsid w:val="00D060EB"/>
    <w:rsid w:val="00D31228"/>
    <w:rsid w:val="00D31D6A"/>
    <w:rsid w:val="00D4036B"/>
    <w:rsid w:val="00D40E39"/>
    <w:rsid w:val="00D54D3E"/>
    <w:rsid w:val="00D653DA"/>
    <w:rsid w:val="00D72A7B"/>
    <w:rsid w:val="00D73C75"/>
    <w:rsid w:val="00D800A5"/>
    <w:rsid w:val="00D84605"/>
    <w:rsid w:val="00D931F6"/>
    <w:rsid w:val="00DA65A3"/>
    <w:rsid w:val="00DB0185"/>
    <w:rsid w:val="00DB051F"/>
    <w:rsid w:val="00DB1216"/>
    <w:rsid w:val="00DC068C"/>
    <w:rsid w:val="00DC4034"/>
    <w:rsid w:val="00DC73C1"/>
    <w:rsid w:val="00DD3770"/>
    <w:rsid w:val="00DD4A27"/>
    <w:rsid w:val="00DD7CB3"/>
    <w:rsid w:val="00DE7DE5"/>
    <w:rsid w:val="00DF0FB9"/>
    <w:rsid w:val="00DF3BC4"/>
    <w:rsid w:val="00DF4053"/>
    <w:rsid w:val="00DF4874"/>
    <w:rsid w:val="00DF7642"/>
    <w:rsid w:val="00E00990"/>
    <w:rsid w:val="00E05D0A"/>
    <w:rsid w:val="00E2250A"/>
    <w:rsid w:val="00E22BD8"/>
    <w:rsid w:val="00E25EDA"/>
    <w:rsid w:val="00E30AD5"/>
    <w:rsid w:val="00E3202C"/>
    <w:rsid w:val="00E32756"/>
    <w:rsid w:val="00E32FA5"/>
    <w:rsid w:val="00E3603B"/>
    <w:rsid w:val="00E60998"/>
    <w:rsid w:val="00E62F59"/>
    <w:rsid w:val="00E63B6E"/>
    <w:rsid w:val="00E6660D"/>
    <w:rsid w:val="00E73660"/>
    <w:rsid w:val="00E87375"/>
    <w:rsid w:val="00E91508"/>
    <w:rsid w:val="00E92E52"/>
    <w:rsid w:val="00EA0116"/>
    <w:rsid w:val="00EB3BF5"/>
    <w:rsid w:val="00EB41FB"/>
    <w:rsid w:val="00EC570A"/>
    <w:rsid w:val="00EC67B4"/>
    <w:rsid w:val="00ED02C7"/>
    <w:rsid w:val="00EE415B"/>
    <w:rsid w:val="00EF2474"/>
    <w:rsid w:val="00F0279A"/>
    <w:rsid w:val="00F10F62"/>
    <w:rsid w:val="00F110F8"/>
    <w:rsid w:val="00F16599"/>
    <w:rsid w:val="00F223B7"/>
    <w:rsid w:val="00F225CD"/>
    <w:rsid w:val="00F25DB4"/>
    <w:rsid w:val="00F27C7C"/>
    <w:rsid w:val="00F30C90"/>
    <w:rsid w:val="00F327C6"/>
    <w:rsid w:val="00F32C77"/>
    <w:rsid w:val="00F35383"/>
    <w:rsid w:val="00F35BD1"/>
    <w:rsid w:val="00F54F7B"/>
    <w:rsid w:val="00F60E13"/>
    <w:rsid w:val="00F66931"/>
    <w:rsid w:val="00F670DC"/>
    <w:rsid w:val="00F7158B"/>
    <w:rsid w:val="00F73D57"/>
    <w:rsid w:val="00F746B5"/>
    <w:rsid w:val="00F8775A"/>
    <w:rsid w:val="00F91DB7"/>
    <w:rsid w:val="00F942DB"/>
    <w:rsid w:val="00FA3381"/>
    <w:rsid w:val="00FA5AFD"/>
    <w:rsid w:val="00FB1EB3"/>
    <w:rsid w:val="00FC14E1"/>
    <w:rsid w:val="00FD3FDE"/>
    <w:rsid w:val="00FD6188"/>
    <w:rsid w:val="00FD6C90"/>
    <w:rsid w:val="00FE2C31"/>
    <w:rsid w:val="00FF7696"/>
    <w:rsid w:val="00FF7A51"/>
    <w:rsid w:val="01400B23"/>
    <w:rsid w:val="01444E62"/>
    <w:rsid w:val="026F2408"/>
    <w:rsid w:val="03A3354B"/>
    <w:rsid w:val="04F71A3A"/>
    <w:rsid w:val="05325141"/>
    <w:rsid w:val="05914C39"/>
    <w:rsid w:val="05B10265"/>
    <w:rsid w:val="06035473"/>
    <w:rsid w:val="063C1519"/>
    <w:rsid w:val="07C1682C"/>
    <w:rsid w:val="07F942FB"/>
    <w:rsid w:val="084A3AF2"/>
    <w:rsid w:val="08593E95"/>
    <w:rsid w:val="08AE48CC"/>
    <w:rsid w:val="08DA7959"/>
    <w:rsid w:val="09155CBB"/>
    <w:rsid w:val="097D2181"/>
    <w:rsid w:val="09AC15D7"/>
    <w:rsid w:val="0BFB6602"/>
    <w:rsid w:val="0C855D8E"/>
    <w:rsid w:val="0C93150A"/>
    <w:rsid w:val="0CD562F3"/>
    <w:rsid w:val="0DDC0079"/>
    <w:rsid w:val="0E0B7586"/>
    <w:rsid w:val="0E325BE4"/>
    <w:rsid w:val="0F0E4B1D"/>
    <w:rsid w:val="0F7D58E6"/>
    <w:rsid w:val="1197332A"/>
    <w:rsid w:val="11997562"/>
    <w:rsid w:val="12DB33DD"/>
    <w:rsid w:val="14123188"/>
    <w:rsid w:val="16E04168"/>
    <w:rsid w:val="17B566E7"/>
    <w:rsid w:val="186C27D9"/>
    <w:rsid w:val="1A604DC4"/>
    <w:rsid w:val="1AA21AC2"/>
    <w:rsid w:val="1B972BB7"/>
    <w:rsid w:val="1C0E60AC"/>
    <w:rsid w:val="20162F21"/>
    <w:rsid w:val="204903D9"/>
    <w:rsid w:val="22F62BEA"/>
    <w:rsid w:val="231C1576"/>
    <w:rsid w:val="23835D26"/>
    <w:rsid w:val="23B8548D"/>
    <w:rsid w:val="26F253E5"/>
    <w:rsid w:val="277004A5"/>
    <w:rsid w:val="28766349"/>
    <w:rsid w:val="29B31C8A"/>
    <w:rsid w:val="29F12CBA"/>
    <w:rsid w:val="2A006D9D"/>
    <w:rsid w:val="2A7240B1"/>
    <w:rsid w:val="2A9156FA"/>
    <w:rsid w:val="2AED6D06"/>
    <w:rsid w:val="2B7611FC"/>
    <w:rsid w:val="2BA759A9"/>
    <w:rsid w:val="2C0B27D7"/>
    <w:rsid w:val="2D1229D1"/>
    <w:rsid w:val="2DAA770A"/>
    <w:rsid w:val="2DB23BB5"/>
    <w:rsid w:val="2E62414F"/>
    <w:rsid w:val="2F125FBD"/>
    <w:rsid w:val="2F4F53D0"/>
    <w:rsid w:val="2F5C1409"/>
    <w:rsid w:val="313329C0"/>
    <w:rsid w:val="32920AB1"/>
    <w:rsid w:val="33B336D3"/>
    <w:rsid w:val="34D256E4"/>
    <w:rsid w:val="36B32D06"/>
    <w:rsid w:val="398049B7"/>
    <w:rsid w:val="3A2E5F66"/>
    <w:rsid w:val="3A3C313E"/>
    <w:rsid w:val="3C1A536F"/>
    <w:rsid w:val="3C225DFD"/>
    <w:rsid w:val="3D2E0651"/>
    <w:rsid w:val="3D507654"/>
    <w:rsid w:val="3D5B4CFB"/>
    <w:rsid w:val="3E946E08"/>
    <w:rsid w:val="3EC5353E"/>
    <w:rsid w:val="3F281B70"/>
    <w:rsid w:val="3F644236"/>
    <w:rsid w:val="40152D33"/>
    <w:rsid w:val="41731C05"/>
    <w:rsid w:val="41A976D6"/>
    <w:rsid w:val="43704608"/>
    <w:rsid w:val="43C220CB"/>
    <w:rsid w:val="45D94660"/>
    <w:rsid w:val="46197023"/>
    <w:rsid w:val="46391A7E"/>
    <w:rsid w:val="46A21836"/>
    <w:rsid w:val="47D53D17"/>
    <w:rsid w:val="48237841"/>
    <w:rsid w:val="490A6CD3"/>
    <w:rsid w:val="4A2F038B"/>
    <w:rsid w:val="4A934CAF"/>
    <w:rsid w:val="4B6A38F3"/>
    <w:rsid w:val="4BA811A0"/>
    <w:rsid w:val="4BE81B7B"/>
    <w:rsid w:val="4CAD2234"/>
    <w:rsid w:val="4CBA6C23"/>
    <w:rsid w:val="4D311DEB"/>
    <w:rsid w:val="4E6420B6"/>
    <w:rsid w:val="4E664672"/>
    <w:rsid w:val="4E8E75C3"/>
    <w:rsid w:val="4F240DEE"/>
    <w:rsid w:val="50970142"/>
    <w:rsid w:val="50A50336"/>
    <w:rsid w:val="55073941"/>
    <w:rsid w:val="55901EAB"/>
    <w:rsid w:val="56200773"/>
    <w:rsid w:val="56DE55AC"/>
    <w:rsid w:val="578B301D"/>
    <w:rsid w:val="58F06174"/>
    <w:rsid w:val="593063AA"/>
    <w:rsid w:val="5B1D12DF"/>
    <w:rsid w:val="5B625664"/>
    <w:rsid w:val="5B760F17"/>
    <w:rsid w:val="5CB90086"/>
    <w:rsid w:val="5D345E7F"/>
    <w:rsid w:val="5D40413A"/>
    <w:rsid w:val="5DAF4762"/>
    <w:rsid w:val="616D2FCE"/>
    <w:rsid w:val="61D31A87"/>
    <w:rsid w:val="621A78F3"/>
    <w:rsid w:val="62793074"/>
    <w:rsid w:val="62CC0F5B"/>
    <w:rsid w:val="63371012"/>
    <w:rsid w:val="63734B1B"/>
    <w:rsid w:val="63D47EE7"/>
    <w:rsid w:val="64072BD5"/>
    <w:rsid w:val="648139D3"/>
    <w:rsid w:val="64ED08AA"/>
    <w:rsid w:val="652C033B"/>
    <w:rsid w:val="655B2B04"/>
    <w:rsid w:val="65F10111"/>
    <w:rsid w:val="68A03ECE"/>
    <w:rsid w:val="6AAA7272"/>
    <w:rsid w:val="6B01111E"/>
    <w:rsid w:val="6C3E732F"/>
    <w:rsid w:val="6C924AFD"/>
    <w:rsid w:val="6D432CA8"/>
    <w:rsid w:val="6DCE572E"/>
    <w:rsid w:val="6E011BB3"/>
    <w:rsid w:val="6E036EB1"/>
    <w:rsid w:val="6EE22FC8"/>
    <w:rsid w:val="6FAA2832"/>
    <w:rsid w:val="6FE43C97"/>
    <w:rsid w:val="70145EAB"/>
    <w:rsid w:val="705F7FAB"/>
    <w:rsid w:val="70763942"/>
    <w:rsid w:val="70B50459"/>
    <w:rsid w:val="71D47CA7"/>
    <w:rsid w:val="72375BEB"/>
    <w:rsid w:val="727B2500"/>
    <w:rsid w:val="73B90804"/>
    <w:rsid w:val="760D099D"/>
    <w:rsid w:val="76264D67"/>
    <w:rsid w:val="76E5408F"/>
    <w:rsid w:val="78C436D3"/>
    <w:rsid w:val="79756C84"/>
    <w:rsid w:val="79B50128"/>
    <w:rsid w:val="7A4E1784"/>
    <w:rsid w:val="7AC25E8D"/>
    <w:rsid w:val="7B36093B"/>
    <w:rsid w:val="7B863F5D"/>
    <w:rsid w:val="7C1562AA"/>
    <w:rsid w:val="7C425D7F"/>
    <w:rsid w:val="7CE904CD"/>
    <w:rsid w:val="7FB4120A"/>
    <w:rsid w:val="7FDF3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0"/>
    <w:qFormat/>
    <w:uiPriority w:val="9"/>
    <w:pPr>
      <w:keepNext/>
      <w:keepLines/>
      <w:spacing w:before="60" w:after="60" w:line="413" w:lineRule="auto"/>
      <w:outlineLvl w:val="1"/>
    </w:pPr>
    <w:rPr>
      <w:rFonts w:ascii="Arial" w:hAnsi="Arial" w:eastAsia="黑体"/>
      <w:b/>
      <w:bCs/>
      <w:kern w:val="0"/>
      <w:sz w:val="20"/>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link w:val="31"/>
    <w:unhideWhenUsed/>
    <w:qFormat/>
    <w:uiPriority w:val="99"/>
    <w:pPr>
      <w:jc w:val="left"/>
    </w:pPr>
    <w:rPr>
      <w:rFonts w:ascii="Calibri" w:hAnsi="Calibri"/>
      <w:szCs w:val="22"/>
    </w:rPr>
  </w:style>
  <w:style w:type="paragraph" w:styleId="5">
    <w:name w:val="Body Text"/>
    <w:basedOn w:val="1"/>
    <w:qFormat/>
    <w:uiPriority w:val="0"/>
    <w:pPr>
      <w:tabs>
        <w:tab w:val="left" w:pos="0"/>
        <w:tab w:val="left" w:pos="993"/>
        <w:tab w:val="left" w:pos="1134"/>
      </w:tabs>
      <w:spacing w:line="500" w:lineRule="exact"/>
    </w:pPr>
    <w:rPr>
      <w:rFonts w:ascii="宋体"/>
      <w:sz w:val="28"/>
    </w:rPr>
  </w:style>
  <w:style w:type="paragraph" w:styleId="6">
    <w:name w:val="Body Text Indent"/>
    <w:basedOn w:val="1"/>
    <w:link w:val="32"/>
    <w:qFormat/>
    <w:uiPriority w:val="0"/>
    <w:pPr>
      <w:spacing w:line="480" w:lineRule="exact"/>
      <w:ind w:firstLine="210" w:firstLineChars="100"/>
    </w:pPr>
    <w:rPr>
      <w:rFonts w:ascii="宋体" w:hAnsi="宋体"/>
      <w:kern w:val="0"/>
      <w:sz w:val="20"/>
    </w:rPr>
  </w:style>
  <w:style w:type="paragraph" w:styleId="7">
    <w:name w:val="Plain Text"/>
    <w:basedOn w:val="1"/>
    <w:qFormat/>
    <w:uiPriority w:val="0"/>
    <w:pPr>
      <w:snapToGrid w:val="0"/>
      <w:spacing w:line="360" w:lineRule="auto"/>
    </w:pPr>
    <w:rPr>
      <w:rFonts w:ascii="宋体" w:hAnsi="宋体"/>
      <w:szCs w:val="20"/>
    </w:rPr>
  </w:style>
  <w:style w:type="paragraph" w:styleId="8">
    <w:name w:val="Date"/>
    <w:basedOn w:val="1"/>
    <w:next w:val="1"/>
    <w:link w:val="33"/>
    <w:unhideWhenUsed/>
    <w:qFormat/>
    <w:uiPriority w:val="99"/>
    <w:pPr>
      <w:ind w:left="100" w:leftChars="2500"/>
    </w:pPr>
  </w:style>
  <w:style w:type="paragraph" w:styleId="9">
    <w:name w:val="Balloon Text"/>
    <w:basedOn w:val="1"/>
    <w:link w:val="34"/>
    <w:unhideWhenUsed/>
    <w:qFormat/>
    <w:uiPriority w:val="99"/>
    <w:rPr>
      <w:sz w:val="18"/>
      <w:szCs w:val="18"/>
    </w:rPr>
  </w:style>
  <w:style w:type="paragraph" w:styleId="10">
    <w:name w:val="footer"/>
    <w:basedOn w:val="1"/>
    <w:link w:val="35"/>
    <w:unhideWhenUsed/>
    <w:qFormat/>
    <w:uiPriority w:val="99"/>
    <w:pPr>
      <w:tabs>
        <w:tab w:val="center" w:pos="4153"/>
        <w:tab w:val="right" w:pos="8306"/>
      </w:tabs>
      <w:snapToGrid w:val="0"/>
      <w:jc w:val="left"/>
    </w:pPr>
    <w:rPr>
      <w:kern w:val="0"/>
      <w:sz w:val="18"/>
      <w:szCs w:val="18"/>
    </w:rPr>
  </w:style>
  <w:style w:type="paragraph" w:styleId="11">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37"/>
    <w:unhideWhenUsed/>
    <w:qFormat/>
    <w:uiPriority w:val="99"/>
    <w:rPr>
      <w:rFonts w:ascii="Times New Roman" w:hAnsi="Times New Roman"/>
      <w:b/>
      <w:bCs/>
      <w:szCs w:val="24"/>
    </w:rPr>
  </w:style>
  <w:style w:type="character" w:styleId="17">
    <w:name w:val="Strong"/>
    <w:qFormat/>
    <w:uiPriority w:val="22"/>
    <w:rPr>
      <w:b/>
    </w:rPr>
  </w:style>
  <w:style w:type="character" w:styleId="18">
    <w:name w:val="FollowedHyperlink"/>
    <w:unhideWhenUsed/>
    <w:qFormat/>
    <w:uiPriority w:val="99"/>
    <w:rPr>
      <w:color w:val="800080"/>
      <w:u w:val="none"/>
    </w:rPr>
  </w:style>
  <w:style w:type="character" w:styleId="19">
    <w:name w:val="Emphasis"/>
    <w:qFormat/>
    <w:uiPriority w:val="20"/>
    <w:rPr>
      <w:b/>
    </w:rPr>
  </w:style>
  <w:style w:type="character" w:styleId="20">
    <w:name w:val="HTML Definition"/>
    <w:unhideWhenUsed/>
    <w:qFormat/>
    <w:uiPriority w:val="99"/>
  </w:style>
  <w:style w:type="character" w:styleId="21">
    <w:name w:val="HTML Typewriter"/>
    <w:unhideWhenUsed/>
    <w:qFormat/>
    <w:uiPriority w:val="99"/>
    <w:rPr>
      <w:rFonts w:hint="default" w:ascii="monospace" w:hAnsi="monospace" w:eastAsia="monospace" w:cs="monospace"/>
      <w:sz w:val="20"/>
    </w:rPr>
  </w:style>
  <w:style w:type="character" w:styleId="22">
    <w:name w:val="HTML Acronym"/>
    <w:unhideWhenUsed/>
    <w:qFormat/>
    <w:uiPriority w:val="99"/>
  </w:style>
  <w:style w:type="character" w:styleId="23">
    <w:name w:val="HTML Variable"/>
    <w:unhideWhenUsed/>
    <w:qFormat/>
    <w:uiPriority w:val="99"/>
  </w:style>
  <w:style w:type="character" w:styleId="24">
    <w:name w:val="Hyperlink"/>
    <w:unhideWhenUsed/>
    <w:qFormat/>
    <w:uiPriority w:val="99"/>
    <w:rPr>
      <w:color w:val="0000FF"/>
      <w:u w:val="none"/>
    </w:rPr>
  </w:style>
  <w:style w:type="character" w:styleId="25">
    <w:name w:val="HTML Code"/>
    <w:unhideWhenUsed/>
    <w:qFormat/>
    <w:uiPriority w:val="99"/>
    <w:rPr>
      <w:rFonts w:hint="default" w:ascii="monospace" w:hAnsi="monospace" w:eastAsia="monospace" w:cs="monospace"/>
      <w:sz w:val="20"/>
    </w:rPr>
  </w:style>
  <w:style w:type="character" w:styleId="26">
    <w:name w:val="annotation reference"/>
    <w:unhideWhenUsed/>
    <w:qFormat/>
    <w:uiPriority w:val="99"/>
    <w:rPr>
      <w:sz w:val="21"/>
      <w:szCs w:val="21"/>
    </w:rPr>
  </w:style>
  <w:style w:type="character" w:styleId="27">
    <w:name w:val="HTML Cite"/>
    <w:unhideWhenUsed/>
    <w:qFormat/>
    <w:uiPriority w:val="99"/>
  </w:style>
  <w:style w:type="character" w:styleId="28">
    <w:name w:val="HTML Keyboard"/>
    <w:unhideWhenUsed/>
    <w:qFormat/>
    <w:uiPriority w:val="99"/>
    <w:rPr>
      <w:rFonts w:ascii="monospace" w:hAnsi="monospace" w:eastAsia="monospace" w:cs="monospace"/>
      <w:sz w:val="20"/>
    </w:rPr>
  </w:style>
  <w:style w:type="character" w:styleId="29">
    <w:name w:val="HTML Sample"/>
    <w:unhideWhenUsed/>
    <w:qFormat/>
    <w:uiPriority w:val="99"/>
    <w:rPr>
      <w:rFonts w:hint="default" w:ascii="monospace" w:hAnsi="monospace" w:eastAsia="monospace" w:cs="monospace"/>
    </w:rPr>
  </w:style>
  <w:style w:type="character" w:customStyle="1" w:styleId="30">
    <w:name w:val="标题 2 Char1"/>
    <w:link w:val="3"/>
    <w:qFormat/>
    <w:uiPriority w:val="9"/>
    <w:rPr>
      <w:rFonts w:ascii="Arial" w:hAnsi="Arial" w:eastAsia="黑体" w:cs="Times New Roman"/>
      <w:b/>
      <w:bCs/>
      <w:szCs w:val="32"/>
    </w:rPr>
  </w:style>
  <w:style w:type="character" w:customStyle="1" w:styleId="31">
    <w:name w:val="批注文字 Char"/>
    <w:link w:val="4"/>
    <w:qFormat/>
    <w:uiPriority w:val="99"/>
    <w:rPr>
      <w:rFonts w:ascii="Calibri" w:hAnsi="Calibri" w:eastAsia="宋体" w:cs="Times New Roman"/>
      <w:kern w:val="2"/>
      <w:sz w:val="21"/>
      <w:szCs w:val="22"/>
    </w:rPr>
  </w:style>
  <w:style w:type="character" w:customStyle="1" w:styleId="32">
    <w:name w:val="正文文本缩进 Char"/>
    <w:link w:val="6"/>
    <w:qFormat/>
    <w:uiPriority w:val="0"/>
    <w:rPr>
      <w:rFonts w:ascii="宋体" w:hAnsi="宋体" w:eastAsia="宋体" w:cs="Times New Roman"/>
      <w:szCs w:val="24"/>
    </w:rPr>
  </w:style>
  <w:style w:type="character" w:customStyle="1" w:styleId="33">
    <w:name w:val="日期 Char"/>
    <w:link w:val="8"/>
    <w:semiHidden/>
    <w:qFormat/>
    <w:uiPriority w:val="99"/>
    <w:rPr>
      <w:kern w:val="2"/>
      <w:sz w:val="21"/>
      <w:szCs w:val="24"/>
    </w:rPr>
  </w:style>
  <w:style w:type="character" w:customStyle="1" w:styleId="34">
    <w:name w:val="批注框文本 Char"/>
    <w:link w:val="9"/>
    <w:semiHidden/>
    <w:qFormat/>
    <w:uiPriority w:val="99"/>
    <w:rPr>
      <w:kern w:val="2"/>
      <w:sz w:val="18"/>
      <w:szCs w:val="18"/>
    </w:rPr>
  </w:style>
  <w:style w:type="character" w:customStyle="1" w:styleId="35">
    <w:name w:val="页脚 Char"/>
    <w:link w:val="10"/>
    <w:qFormat/>
    <w:uiPriority w:val="99"/>
    <w:rPr>
      <w:rFonts w:ascii="Times New Roman" w:hAnsi="Times New Roman" w:eastAsia="宋体" w:cs="Times New Roman"/>
      <w:sz w:val="18"/>
      <w:szCs w:val="18"/>
    </w:rPr>
  </w:style>
  <w:style w:type="character" w:customStyle="1" w:styleId="36">
    <w:name w:val="页眉 Char"/>
    <w:link w:val="11"/>
    <w:semiHidden/>
    <w:qFormat/>
    <w:uiPriority w:val="99"/>
    <w:rPr>
      <w:rFonts w:ascii="Times New Roman" w:hAnsi="Times New Roman" w:eastAsia="宋体" w:cs="Times New Roman"/>
      <w:sz w:val="18"/>
      <w:szCs w:val="18"/>
    </w:rPr>
  </w:style>
  <w:style w:type="character" w:customStyle="1" w:styleId="37">
    <w:name w:val="批注主题 Char"/>
    <w:link w:val="14"/>
    <w:semiHidden/>
    <w:qFormat/>
    <w:uiPriority w:val="99"/>
    <w:rPr>
      <w:rFonts w:ascii="Calibri" w:hAnsi="Calibri" w:eastAsia="宋体" w:cs="Times New Roman"/>
      <w:b/>
      <w:bCs/>
      <w:kern w:val="2"/>
      <w:sz w:val="21"/>
      <w:szCs w:val="24"/>
    </w:rPr>
  </w:style>
  <w:style w:type="character" w:customStyle="1" w:styleId="38">
    <w:name w:val="fontstyle11"/>
    <w:qFormat/>
    <w:uiPriority w:val="0"/>
    <w:rPr>
      <w:rFonts w:hint="eastAsia" w:ascii="宋体" w:hAnsi="宋体" w:eastAsia="宋体"/>
      <w:color w:val="000000"/>
      <w:sz w:val="24"/>
      <w:szCs w:val="24"/>
    </w:rPr>
  </w:style>
  <w:style w:type="character" w:customStyle="1" w:styleId="39">
    <w:name w:val="fontstyle01"/>
    <w:qFormat/>
    <w:uiPriority w:val="0"/>
    <w:rPr>
      <w:rFonts w:hint="eastAsia" w:ascii="MS Mincho" w:hAnsi="MS Mincho" w:eastAsia="MS Mincho"/>
      <w:color w:val="000000"/>
      <w:sz w:val="24"/>
      <w:szCs w:val="24"/>
    </w:rPr>
  </w:style>
  <w:style w:type="character" w:customStyle="1" w:styleId="40">
    <w:name w:val="标题 2 Char"/>
    <w:semiHidden/>
    <w:qFormat/>
    <w:uiPriority w:val="9"/>
    <w:rPr>
      <w:rFonts w:ascii="Cambria" w:hAnsi="Cambria" w:eastAsia="宋体" w:cs="Times New Roman"/>
      <w:b/>
      <w:bCs/>
      <w:sz w:val="32"/>
      <w:szCs w:val="32"/>
    </w:rPr>
  </w:style>
  <w:style w:type="character" w:customStyle="1" w:styleId="41">
    <w:name w:val="hover"/>
    <w:qFormat/>
    <w:uiPriority w:val="0"/>
    <w:rPr>
      <w:color w:val="2590EB"/>
    </w:rPr>
  </w:style>
  <w:style w:type="character" w:customStyle="1" w:styleId="42">
    <w:name w:val="hover1"/>
    <w:qFormat/>
    <w:uiPriority w:val="0"/>
    <w:rPr>
      <w:color w:val="2590EB"/>
    </w:rPr>
  </w:style>
  <w:style w:type="character" w:customStyle="1" w:styleId="43">
    <w:name w:val="hover2"/>
    <w:qFormat/>
    <w:uiPriority w:val="0"/>
  </w:style>
  <w:style w:type="paragraph" w:styleId="44">
    <w:name w:val="List Paragraph"/>
    <w:basedOn w:val="1"/>
    <w:qFormat/>
    <w:uiPriority w:val="34"/>
    <w:pPr>
      <w:spacing w:line="360" w:lineRule="auto"/>
      <w:ind w:firstLine="420" w:firstLineChars="200"/>
    </w:pPr>
    <w:rPr>
      <w:rFonts w:eastAsia="楷体_GB2312"/>
    </w:rPr>
  </w:style>
  <w:style w:type="paragraph" w:styleId="45">
    <w:name w:val="No Spacing"/>
    <w:basedOn w:val="1"/>
    <w:qFormat/>
    <w:uiPriority w:val="0"/>
  </w:style>
  <w:style w:type="character" w:customStyle="1" w:styleId="46">
    <w:name w:val="bold"/>
    <w:basedOn w:val="16"/>
    <w:qFormat/>
    <w:uiPriority w:val="0"/>
  </w:style>
  <w:style w:type="paragraph" w:customStyle="1" w:styleId="4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无间隔1"/>
    <w:basedOn w:val="1"/>
    <w:qFormat/>
    <w:uiPriority w:val="0"/>
  </w:style>
  <w:style w:type="paragraph" w:customStyle="1" w:styleId="49">
    <w:name w:val="正文1"/>
    <w:qFormat/>
    <w:uiPriority w:val="0"/>
    <w:pPr>
      <w:widowControl w:val="0"/>
      <w:jc w:val="both"/>
    </w:pPr>
    <w:rPr>
      <w:rFonts w:ascii="Calibri" w:hAnsi="Calibri" w:eastAsia="宋体" w:cs="Times New Roman"/>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9114</Words>
  <Characters>9736</Characters>
  <Lines>74</Lines>
  <Paragraphs>20</Paragraphs>
  <TotalTime>12</TotalTime>
  <ScaleCrop>false</ScaleCrop>
  <LinksUpToDate>false</LinksUpToDate>
  <CharactersWithSpaces>9974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2023-02-09T07:34:00Z</dcterms:created>
  <dc:creator>gs</dc:creator>
  <cp:lastModifiedBy>润邦赵婷</cp:lastModifiedBy>
  <cp:lastPrinted>2023-03-06T01:49:00Z</cp:lastPrinted>
  <dcterms:modified xsi:type="dcterms:W3CDTF">2023-10-31T00:46:56Z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21D1E53790AA4E4F8AE60C1666A20923</vt:lpwstr>
  </property>
</Properties>
</file>