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080"/>
          <w:tab w:val="left" w:pos="1872"/>
        </w:tabs>
        <w:snapToGrid w:val="0"/>
        <w:spacing w:line="400" w:lineRule="exact"/>
        <w:ind w:firstLine="482" w:firstLineChars="200"/>
        <w:jc w:val="left"/>
        <w:rPr>
          <w:rFonts w:hint="eastAsia" w:ascii="宋体" w:hAnsi="宋体" w:eastAsia="宋体" w:cs="宋体"/>
          <w:b/>
          <w:bCs/>
          <w:sz w:val="24"/>
          <w:highlight w:val="none"/>
        </w:rPr>
      </w:pPr>
      <w:r>
        <w:rPr>
          <w:rFonts w:hint="eastAsia" w:ascii="宋体" w:hAnsi="宋体" w:cs="宋体"/>
          <w:b/>
          <w:bCs/>
          <w:sz w:val="24"/>
          <w:highlight w:val="none"/>
          <w:lang w:val="en-US" w:eastAsia="zh-CN"/>
        </w:rPr>
        <w:t>附件：</w:t>
      </w:r>
      <w:r>
        <w:rPr>
          <w:rFonts w:hint="eastAsia" w:ascii="宋体" w:hAnsi="宋体" w:eastAsia="宋体" w:cs="宋体"/>
          <w:b/>
          <w:bCs/>
          <w:sz w:val="24"/>
          <w:highlight w:val="none"/>
        </w:rPr>
        <w:t>评</w:t>
      </w:r>
      <w:r>
        <w:rPr>
          <w:rFonts w:hint="eastAsia" w:ascii="宋体" w:hAnsi="宋体" w:cs="宋体"/>
          <w:b/>
          <w:bCs/>
          <w:sz w:val="24"/>
          <w:highlight w:val="none"/>
          <w:lang w:val="en-US" w:eastAsia="zh-CN"/>
        </w:rPr>
        <w:t>分</w:t>
      </w:r>
      <w:r>
        <w:rPr>
          <w:rFonts w:hint="eastAsia" w:ascii="宋体" w:hAnsi="宋体" w:eastAsia="宋体" w:cs="宋体"/>
          <w:b/>
          <w:bCs/>
          <w:sz w:val="24"/>
          <w:highlight w:val="none"/>
        </w:rPr>
        <w:t>标准</w:t>
      </w:r>
    </w:p>
    <w:p>
      <w:pPr>
        <w:pStyle w:val="2"/>
        <w:rPr>
          <w:rFonts w:hint="eastAsia"/>
        </w:rPr>
      </w:pPr>
      <w:bookmarkStart w:id="0" w:name="_GoBack"/>
      <w:bookmarkEnd w:id="0"/>
    </w:p>
    <w:tbl>
      <w:tblPr>
        <w:tblStyle w:val="3"/>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85"/>
        <w:gridCol w:w="625"/>
        <w:gridCol w:w="6013"/>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jc w:val="center"/>
        </w:trPr>
        <w:tc>
          <w:tcPr>
            <w:tcW w:w="760" w:type="dxa"/>
            <w:noWrap w:val="0"/>
            <w:vAlign w:val="center"/>
          </w:tcPr>
          <w:p>
            <w:pPr>
              <w:ind w:firstLine="28"/>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85" w:type="dxa"/>
            <w:noWrap w:val="0"/>
            <w:vAlign w:val="center"/>
          </w:tcPr>
          <w:p>
            <w:pPr>
              <w:ind w:firstLine="28"/>
              <w:jc w:val="center"/>
              <w:rPr>
                <w:rFonts w:hint="eastAsia" w:ascii="宋体" w:hAnsi="宋体" w:eastAsia="宋体" w:cs="宋体"/>
                <w:b/>
                <w:sz w:val="24"/>
                <w:highlight w:val="none"/>
              </w:rPr>
            </w:pPr>
            <w:r>
              <w:rPr>
                <w:rFonts w:hint="eastAsia" w:ascii="宋体" w:hAnsi="宋体" w:eastAsia="宋体" w:cs="宋体"/>
                <w:b/>
                <w:sz w:val="24"/>
                <w:highlight w:val="none"/>
              </w:rPr>
              <w:t>评分</w:t>
            </w:r>
          </w:p>
          <w:p>
            <w:pPr>
              <w:ind w:firstLine="28"/>
              <w:jc w:val="center"/>
              <w:rPr>
                <w:rFonts w:hint="eastAsia" w:ascii="宋体" w:hAnsi="宋体" w:eastAsia="宋体" w:cs="宋体"/>
                <w:b/>
                <w:sz w:val="24"/>
                <w:highlight w:val="none"/>
              </w:rPr>
            </w:pPr>
            <w:r>
              <w:rPr>
                <w:rFonts w:hint="eastAsia" w:ascii="宋体" w:hAnsi="宋体" w:eastAsia="宋体" w:cs="宋体"/>
                <w:b/>
                <w:sz w:val="24"/>
                <w:highlight w:val="none"/>
              </w:rPr>
              <w:t>因素</w:t>
            </w:r>
          </w:p>
        </w:tc>
        <w:tc>
          <w:tcPr>
            <w:tcW w:w="625" w:type="dxa"/>
            <w:noWrap w:val="0"/>
            <w:vAlign w:val="center"/>
          </w:tcPr>
          <w:p>
            <w:pPr>
              <w:ind w:firstLine="28"/>
              <w:jc w:val="center"/>
              <w:rPr>
                <w:rFonts w:hint="eastAsia" w:ascii="宋体" w:hAnsi="宋体" w:eastAsia="宋体" w:cs="宋体"/>
                <w:b/>
                <w:sz w:val="24"/>
                <w:highlight w:val="none"/>
              </w:rPr>
            </w:pPr>
            <w:r>
              <w:rPr>
                <w:rFonts w:hint="eastAsia" w:ascii="宋体" w:hAnsi="宋体" w:eastAsia="宋体" w:cs="宋体"/>
                <w:b/>
                <w:sz w:val="24"/>
                <w:highlight w:val="none"/>
              </w:rPr>
              <w:t>分值</w:t>
            </w:r>
          </w:p>
        </w:tc>
        <w:tc>
          <w:tcPr>
            <w:tcW w:w="6013" w:type="dxa"/>
            <w:noWrap w:val="0"/>
            <w:vAlign w:val="center"/>
          </w:tcPr>
          <w:p>
            <w:pPr>
              <w:ind w:firstLine="28"/>
              <w:jc w:val="center"/>
              <w:rPr>
                <w:rFonts w:hint="eastAsia" w:ascii="宋体" w:hAnsi="宋体" w:eastAsia="宋体" w:cs="宋体"/>
                <w:b/>
                <w:sz w:val="24"/>
                <w:highlight w:val="none"/>
              </w:rPr>
            </w:pPr>
            <w:r>
              <w:rPr>
                <w:rFonts w:hint="eastAsia" w:ascii="宋体" w:hAnsi="宋体" w:eastAsia="宋体" w:cs="宋体"/>
                <w:b/>
                <w:sz w:val="24"/>
                <w:highlight w:val="none"/>
              </w:rPr>
              <w:t>评分标准</w:t>
            </w:r>
          </w:p>
        </w:tc>
        <w:tc>
          <w:tcPr>
            <w:tcW w:w="908" w:type="dxa"/>
            <w:noWrap w:val="0"/>
            <w:vAlign w:val="center"/>
          </w:tcPr>
          <w:p>
            <w:pPr>
              <w:pStyle w:val="5"/>
              <w:spacing w:before="0" w:after="0" w:line="240" w:lineRule="auto"/>
              <w:rPr>
                <w:rFonts w:hint="eastAsia" w:ascii="宋体" w:hAnsi="宋体" w:eastAsia="宋体" w:cs="宋体"/>
                <w:sz w:val="21"/>
                <w:szCs w:val="21"/>
                <w:highlight w:val="none"/>
              </w:rPr>
            </w:pPr>
            <w:r>
              <w:rPr>
                <w:rFonts w:hint="eastAsia" w:ascii="宋体" w:hAnsi="宋体" w:eastAsia="宋体" w:cs="宋体"/>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ind w:firstLine="28"/>
              <w:jc w:val="center"/>
              <w:rPr>
                <w:rFonts w:hint="eastAsia" w:ascii="宋体" w:hAnsi="宋体" w:eastAsia="宋体" w:cs="宋体"/>
                <w:b/>
                <w:sz w:val="24"/>
                <w:highlight w:val="none"/>
              </w:rPr>
            </w:pPr>
            <w:r>
              <w:rPr>
                <w:rFonts w:hint="eastAsia" w:ascii="宋体" w:hAnsi="宋体" w:eastAsia="宋体" w:cs="宋体"/>
                <w:b w:val="0"/>
                <w:bCs/>
                <w:sz w:val="24"/>
                <w:highlight w:val="none"/>
              </w:rPr>
              <w:t>1</w:t>
            </w:r>
          </w:p>
        </w:tc>
        <w:tc>
          <w:tcPr>
            <w:tcW w:w="985" w:type="dxa"/>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价格分</w:t>
            </w:r>
          </w:p>
        </w:tc>
        <w:tc>
          <w:tcPr>
            <w:tcW w:w="625"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40</w:t>
            </w:r>
          </w:p>
        </w:tc>
        <w:tc>
          <w:tcPr>
            <w:tcW w:w="6013" w:type="dxa"/>
            <w:noWrap w:val="0"/>
            <w:vAlign w:val="center"/>
          </w:tcPr>
          <w:p>
            <w:pPr>
              <w:widowControl/>
              <w:adjustRightInd w:val="0"/>
              <w:snapToGrid w:val="0"/>
              <w:rPr>
                <w:rFonts w:hint="default"/>
                <w:highlight w:val="none"/>
                <w:lang w:val="en-US" w:eastAsia="zh-CN"/>
              </w:rPr>
            </w:pPr>
            <w:r>
              <w:rPr>
                <w:rFonts w:hint="eastAsia" w:ascii="宋体" w:hAnsi="宋体" w:eastAsia="宋体" w:cs="宋体"/>
                <w:sz w:val="24"/>
                <w:highlight w:val="none"/>
                <w:lang w:eastAsia="zh-CN"/>
              </w:rPr>
              <w:t>满足磋商文件要求且最终报价（</w:t>
            </w:r>
            <w:r>
              <w:rPr>
                <w:rFonts w:hint="eastAsia" w:ascii="宋体" w:hAnsi="宋体" w:eastAsia="宋体" w:cs="宋体"/>
                <w:sz w:val="24"/>
                <w:highlight w:val="none"/>
                <w:lang w:val="en-US" w:eastAsia="zh-CN"/>
              </w:rPr>
              <w:t>折扣</w:t>
            </w:r>
            <w:r>
              <w:rPr>
                <w:rFonts w:hint="eastAsia" w:ascii="宋体" w:hAnsi="宋体" w:eastAsia="宋体" w:cs="宋体"/>
                <w:sz w:val="24"/>
                <w:highlight w:val="none"/>
                <w:lang w:eastAsia="zh-CN"/>
              </w:rPr>
              <w:t>）最低的报价为评标基准价，其价格分为</w:t>
            </w:r>
            <w:r>
              <w:rPr>
                <w:rFonts w:hint="eastAsia" w:ascii="宋体" w:hAnsi="宋体" w:eastAsia="宋体" w:cs="宋体"/>
                <w:sz w:val="24"/>
                <w:highlight w:val="none"/>
                <w:lang w:val="en-US" w:eastAsia="zh-CN"/>
              </w:rPr>
              <w:t>40</w:t>
            </w:r>
            <w:r>
              <w:rPr>
                <w:rFonts w:hint="eastAsia" w:ascii="宋体" w:hAnsi="宋体" w:eastAsia="宋体" w:cs="宋体"/>
                <w:sz w:val="24"/>
                <w:highlight w:val="none"/>
                <w:lang w:eastAsia="zh-CN"/>
              </w:rPr>
              <w:t>分。其他供应商的价格分统一按照下列公式计算：价格分得分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eastAsia="zh-CN"/>
              </w:rPr>
              <w:t>（评标基准价/最终报价）×分值。</w:t>
            </w:r>
          </w:p>
        </w:tc>
        <w:tc>
          <w:tcPr>
            <w:tcW w:w="908" w:type="dxa"/>
            <w:noWrap w:val="0"/>
            <w:vAlign w:val="center"/>
          </w:tcPr>
          <w:p>
            <w:pPr>
              <w:ind w:left="-38"/>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85" w:type="dxa"/>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625"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013" w:type="dxa"/>
            <w:noWrap w:val="0"/>
            <w:vAlign w:val="center"/>
          </w:tcPr>
          <w:p>
            <w:pPr>
              <w:rPr>
                <w:rFonts w:hint="eastAsia" w:ascii="宋体" w:hAnsi="宋体" w:eastAsia="宋体" w:cs="宋体"/>
                <w:sz w:val="24"/>
                <w:highlight w:val="none"/>
              </w:rPr>
            </w:pPr>
          </w:p>
        </w:tc>
        <w:tc>
          <w:tcPr>
            <w:tcW w:w="908" w:type="dxa"/>
            <w:noWrap w:val="0"/>
            <w:vAlign w:val="center"/>
          </w:tcPr>
          <w:p>
            <w:pPr>
              <w:ind w:left="-38"/>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2.1</w:t>
            </w:r>
          </w:p>
        </w:tc>
        <w:tc>
          <w:tcPr>
            <w:tcW w:w="985" w:type="dxa"/>
            <w:noWrap w:val="0"/>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系统设计方案</w:t>
            </w:r>
          </w:p>
        </w:tc>
        <w:tc>
          <w:tcPr>
            <w:tcW w:w="625"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6013" w:type="dxa"/>
            <w:noWrap w:val="0"/>
            <w:vAlign w:val="center"/>
          </w:tcPr>
          <w:p>
            <w:pPr>
              <w:widowControl/>
              <w:numPr>
                <w:ilvl w:val="0"/>
                <w:numId w:val="0"/>
              </w:numPr>
              <w:adjustRightInd w:val="0"/>
              <w:snapToGrid w:val="0"/>
              <w:ind w:left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供应商根据本项目实际需求及自身情况提供详细的整体系统的设计方案：设计方案完整且切合学校实际情况，同时符合且符合先进性和适用性要求的得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分；技术方案的部分达到要求的得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分；方案技术方案混乱或不提供的得1分；未提供不得分。</w:t>
            </w:r>
          </w:p>
        </w:tc>
        <w:tc>
          <w:tcPr>
            <w:tcW w:w="908" w:type="dxa"/>
            <w:noWrap w:val="0"/>
            <w:vAlign w:val="center"/>
          </w:tcPr>
          <w:p>
            <w:pPr>
              <w:ind w:left="-38"/>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pPr>
              <w:ind w:firstLine="28"/>
              <w:jc w:val="center"/>
              <w:rPr>
                <w:rFonts w:hint="eastAsia" w:ascii="宋体" w:hAnsi="宋体" w:eastAsia="宋体" w:cs="宋体"/>
                <w:sz w:val="24"/>
                <w:highlight w:val="none"/>
                <w:lang w:eastAsia="zh-CN"/>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p>
        </w:tc>
        <w:tc>
          <w:tcPr>
            <w:tcW w:w="985" w:type="dxa"/>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项目管理方案</w:t>
            </w:r>
          </w:p>
        </w:tc>
        <w:tc>
          <w:tcPr>
            <w:tcW w:w="625" w:type="dxa"/>
            <w:noWrap w:val="0"/>
            <w:vAlign w:val="center"/>
          </w:tcPr>
          <w:p>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w:t>
            </w:r>
          </w:p>
        </w:tc>
        <w:tc>
          <w:tcPr>
            <w:tcW w:w="6013" w:type="dxa"/>
            <w:noWrap w:val="0"/>
            <w:vAlign w:val="center"/>
          </w:tcPr>
          <w:p>
            <w:pPr>
              <w:widowControl/>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供应商根据本项目实际需求及自身情况提供项目管理方案，包括不限于项目管理的过程中的变更、风险、人员配置等：能对项目管理的过程中的变更、风险、人员配置等做出详细规划的得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分；项目管理方案的部分达到要求的得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分；项目管理方案混乱得1分；未提供不得分。</w:t>
            </w:r>
          </w:p>
        </w:tc>
        <w:tc>
          <w:tcPr>
            <w:tcW w:w="908" w:type="dxa"/>
            <w:noWrap w:val="0"/>
            <w:vAlign w:val="center"/>
          </w:tcPr>
          <w:p>
            <w:pPr>
              <w:ind w:left="-38"/>
              <w:rPr>
                <w:rFonts w:hint="eastAsia" w:ascii="宋体" w:hAnsi="宋体" w:eastAsia="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60" w:type="dxa"/>
            <w:noWrap w:val="0"/>
            <w:vAlign w:val="center"/>
          </w:tcPr>
          <w:p>
            <w:pPr>
              <w:widowControl/>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2.3</w:t>
            </w:r>
          </w:p>
        </w:tc>
        <w:tc>
          <w:tcPr>
            <w:tcW w:w="985" w:type="dxa"/>
            <w:noWrap w:val="0"/>
            <w:vAlign w:val="center"/>
          </w:tcPr>
          <w:p>
            <w:pPr>
              <w:widowControl/>
              <w:jc w:val="center"/>
              <w:rPr>
                <w:rFonts w:hint="eastAsia" w:ascii="宋体" w:hAnsi="宋体" w:eastAsia="宋体" w:cs="宋体"/>
                <w:bCs/>
                <w:sz w:val="24"/>
                <w:highlight w:val="none"/>
              </w:rPr>
            </w:pPr>
            <w:r>
              <w:rPr>
                <w:rFonts w:hint="eastAsia" w:ascii="宋体" w:hAnsi="宋体" w:eastAsia="宋体" w:cs="宋体"/>
                <w:bCs/>
                <w:sz w:val="24"/>
                <w:highlight w:val="none"/>
              </w:rPr>
              <w:t>售后服务</w:t>
            </w:r>
          </w:p>
        </w:tc>
        <w:tc>
          <w:tcPr>
            <w:tcW w:w="625" w:type="dxa"/>
            <w:noWrap w:val="0"/>
            <w:vAlign w:val="center"/>
          </w:tcPr>
          <w:p>
            <w:pPr>
              <w:widowControl/>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w:t>
            </w:r>
          </w:p>
        </w:tc>
        <w:tc>
          <w:tcPr>
            <w:tcW w:w="6013" w:type="dxa"/>
            <w:noWrap w:val="0"/>
            <w:vAlign w:val="center"/>
          </w:tcPr>
          <w:p>
            <w:pPr>
              <w:widowControl/>
              <w:rPr>
                <w:rFonts w:hint="eastAsia" w:ascii="宋体" w:hAnsi="宋体" w:eastAsia="宋体" w:cs="宋体"/>
                <w:bCs/>
                <w:sz w:val="24"/>
                <w:highlight w:val="none"/>
              </w:rPr>
            </w:pPr>
            <w:r>
              <w:rPr>
                <w:rFonts w:hint="eastAsia" w:ascii="宋体" w:hAnsi="宋体" w:eastAsia="宋体" w:cs="宋体"/>
                <w:bCs/>
                <w:sz w:val="24"/>
                <w:highlight w:val="none"/>
              </w:rPr>
              <w:t>供应商根据本项目实际需求及自身情况提供售后服务方案，包括但不限于：售后技术能力、服务响应时间保障、常规和应急抢修服务保障、承诺故障排除时间保障和常用设备备件种类和数量承诺等</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服务方案详细可行，为用户提供完善的维护维修和技术保障服务，包括故障及解决时间，故障处理人，故障事件处理情况。售后方案全面且服务保障措施经评委评审认为切实可行的得</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分；售后方案较为全面但部分措施不到位的得3分；售后方案不够全面且部分措施不到位的得1分；未提供不得分。</w:t>
            </w:r>
          </w:p>
        </w:tc>
        <w:tc>
          <w:tcPr>
            <w:tcW w:w="908" w:type="dxa"/>
            <w:noWrap w:val="0"/>
            <w:vAlign w:val="center"/>
          </w:tcPr>
          <w:p>
            <w:pPr>
              <w:ind w:left="-38"/>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85" w:type="dxa"/>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客观分</w:t>
            </w:r>
          </w:p>
        </w:tc>
        <w:tc>
          <w:tcPr>
            <w:tcW w:w="625"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50</w:t>
            </w:r>
          </w:p>
        </w:tc>
        <w:tc>
          <w:tcPr>
            <w:tcW w:w="6013" w:type="dxa"/>
            <w:noWrap w:val="0"/>
            <w:vAlign w:val="center"/>
          </w:tcPr>
          <w:p>
            <w:pPr>
              <w:rPr>
                <w:rFonts w:hint="eastAsia" w:ascii="宋体" w:hAnsi="宋体" w:eastAsia="宋体" w:cs="宋体"/>
                <w:sz w:val="24"/>
                <w:highlight w:val="none"/>
              </w:rPr>
            </w:pPr>
          </w:p>
        </w:tc>
        <w:tc>
          <w:tcPr>
            <w:tcW w:w="908" w:type="dxa"/>
            <w:noWrap w:val="0"/>
            <w:vAlign w:val="center"/>
          </w:tcPr>
          <w:p>
            <w:pPr>
              <w:ind w:left="-38"/>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pPr>
              <w:ind w:firstLine="2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3.1</w:t>
            </w:r>
          </w:p>
        </w:tc>
        <w:tc>
          <w:tcPr>
            <w:tcW w:w="985" w:type="dxa"/>
            <w:noWrap w:val="0"/>
            <w:vAlign w:val="center"/>
          </w:tcPr>
          <w:p>
            <w:pPr>
              <w:ind w:firstLine="2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业绩</w:t>
            </w:r>
          </w:p>
        </w:tc>
        <w:tc>
          <w:tcPr>
            <w:tcW w:w="625"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6013" w:type="dxa"/>
            <w:noWrap w:val="0"/>
            <w:vAlign w:val="center"/>
          </w:tcPr>
          <w:p>
            <w:pPr>
              <w:rPr>
                <w:rFonts w:hint="default" w:ascii="宋体" w:hAnsi="宋体" w:eastAsia="宋体" w:cs="宋体"/>
                <w:sz w:val="24"/>
                <w:highlight w:val="none"/>
                <w:lang w:val="en-US" w:eastAsia="zh-CN"/>
              </w:rPr>
            </w:pPr>
            <w:r>
              <w:rPr>
                <w:rFonts w:hint="default" w:ascii="宋体" w:hAnsi="宋体" w:eastAsia="宋体" w:cs="宋体"/>
                <w:b w:val="0"/>
                <w:bCs w:val="0"/>
                <w:sz w:val="24"/>
                <w:highlight w:val="none"/>
                <w:lang w:val="en-US" w:eastAsia="zh-CN"/>
              </w:rPr>
              <w:t>供应商自2020年1月1日至投标截止之日（时间以合同书上载明的时间为准）具有类似业绩合同，有一个得1分，最高得</w:t>
            </w:r>
            <w:r>
              <w:rPr>
                <w:rFonts w:hint="eastAsia" w:ascii="宋体" w:hAnsi="宋体" w:eastAsia="宋体" w:cs="宋体"/>
                <w:b w:val="0"/>
                <w:bCs w:val="0"/>
                <w:sz w:val="24"/>
                <w:highlight w:val="none"/>
                <w:lang w:val="en-US" w:eastAsia="zh-CN"/>
              </w:rPr>
              <w:t>2</w:t>
            </w:r>
            <w:r>
              <w:rPr>
                <w:rFonts w:hint="default" w:ascii="宋体" w:hAnsi="宋体" w:eastAsia="宋体" w:cs="宋体"/>
                <w:b w:val="0"/>
                <w:bCs w:val="0"/>
                <w:sz w:val="24"/>
                <w:highlight w:val="none"/>
                <w:lang w:val="en-US" w:eastAsia="zh-CN"/>
              </w:rPr>
              <w:t>分。</w:t>
            </w:r>
            <w:r>
              <w:rPr>
                <w:rFonts w:hint="default" w:ascii="宋体" w:hAnsi="宋体" w:eastAsia="宋体" w:cs="宋体"/>
                <w:b/>
                <w:bCs/>
                <w:sz w:val="24"/>
                <w:highlight w:val="none"/>
                <w:lang w:val="en-US" w:eastAsia="zh-CN"/>
              </w:rPr>
              <w:t>注:响应文件中需提供业绩合同复印件并加盖供应商公章，提供合同原件或中标通知书原件备查，否则不得分。</w:t>
            </w:r>
          </w:p>
        </w:tc>
        <w:tc>
          <w:tcPr>
            <w:tcW w:w="908" w:type="dxa"/>
            <w:noWrap w:val="0"/>
            <w:vAlign w:val="center"/>
          </w:tcPr>
          <w:p>
            <w:pPr>
              <w:ind w:left="-38"/>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3.2</w:t>
            </w:r>
          </w:p>
        </w:tc>
        <w:tc>
          <w:tcPr>
            <w:tcW w:w="985" w:type="dxa"/>
            <w:noWrap w:val="0"/>
            <w:vAlign w:val="center"/>
          </w:tcPr>
          <w:p>
            <w:pPr>
              <w:ind w:firstLine="2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人员资质</w:t>
            </w:r>
          </w:p>
        </w:tc>
        <w:tc>
          <w:tcPr>
            <w:tcW w:w="625"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6013" w:type="dxa"/>
            <w:noWrap w:val="0"/>
            <w:vAlign w:val="center"/>
          </w:tcPr>
          <w:p>
            <w:pPr>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项目经理：拟投入本项目的项目经理1人，具备高级工程师职称、信息系统项目管理师、注册信息安全专业人员认证（CISP）证书和信息系统业务安全服务工程师每有一个得1分，最高得4分。</w:t>
            </w:r>
          </w:p>
          <w:p>
            <w:pPr>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技术负责人：拟投入本项目的项目技术负责人1人，具备人社部及工信部颁发的系统架构设计师（高级）、CISAW信息安全保障人员认证证书（安全运维）、CISAW信息安全保障人员认证证书（风险管理）、注册信息安全工程师（CISE)证书，每有一个得1分，最高得4分，最高得4分</w:t>
            </w:r>
          </w:p>
          <w:p>
            <w:pPr>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安全专员：拟投入本项目的项目信息安全专员1人，具备（网络安全类）高级工程师职称，网络通信安全管理员认证、网络与信息安全应急人员（技术I级）、注册信息安全工程师（CISE)证书；每有一个得1分，最高得4分。</w:t>
            </w:r>
          </w:p>
        </w:tc>
        <w:tc>
          <w:tcPr>
            <w:tcW w:w="908" w:type="dxa"/>
            <w:noWrap w:val="0"/>
            <w:vAlign w:val="center"/>
          </w:tcPr>
          <w:p>
            <w:pPr>
              <w:ind w:left="-38"/>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3.3</w:t>
            </w:r>
          </w:p>
        </w:tc>
        <w:tc>
          <w:tcPr>
            <w:tcW w:w="985" w:type="dxa"/>
            <w:noWrap w:val="0"/>
            <w:vAlign w:val="center"/>
          </w:tcPr>
          <w:p>
            <w:pPr>
              <w:ind w:firstLine="2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公司实力</w:t>
            </w:r>
          </w:p>
        </w:tc>
        <w:tc>
          <w:tcPr>
            <w:tcW w:w="625" w:type="dxa"/>
            <w:noWrap w:val="0"/>
            <w:vAlign w:val="center"/>
          </w:tcPr>
          <w:p>
            <w:pPr>
              <w:ind w:firstLine="28"/>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6013" w:type="dxa"/>
            <w:noWrap w:val="0"/>
            <w:vAlign w:val="center"/>
          </w:tcPr>
          <w:p>
            <w:pPr>
              <w:numPr>
                <w:ilvl w:val="0"/>
                <w:numId w:val="1"/>
              </w:numPr>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具有电子智能化专业承包1级资质的，得3分，二级的，得1分。</w:t>
            </w:r>
          </w:p>
          <w:p>
            <w:pPr>
              <w:numPr>
                <w:ilvl w:val="0"/>
                <w:numId w:val="1"/>
              </w:numPr>
              <w:ind w:left="0" w:leftChars="0" w:firstLine="0" w:firstLineChars="0"/>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具有CCRC信息安全服务资质认证证书（信息系统安全集成）一级的得3分,二级的得1分，三级的得0.5分。</w:t>
            </w:r>
          </w:p>
          <w:p>
            <w:pPr>
              <w:numPr>
                <w:ilvl w:val="0"/>
                <w:numId w:val="1"/>
              </w:numPr>
              <w:ind w:left="0" w:leftChars="0" w:firstLine="0" w:firstLineChars="0"/>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具有信息系统业务安全服务资质(CCIA)一级的，得3分；二级的得1分。</w:t>
            </w:r>
          </w:p>
        </w:tc>
        <w:tc>
          <w:tcPr>
            <w:tcW w:w="908" w:type="dxa"/>
            <w:noWrap w:val="0"/>
            <w:vAlign w:val="center"/>
          </w:tcPr>
          <w:p>
            <w:pPr>
              <w:ind w:left="-38"/>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3.4</w:t>
            </w:r>
          </w:p>
        </w:tc>
        <w:tc>
          <w:tcPr>
            <w:tcW w:w="985" w:type="dxa"/>
            <w:noWrap w:val="0"/>
            <w:vAlign w:val="center"/>
          </w:tcPr>
          <w:p>
            <w:pPr>
              <w:ind w:firstLine="2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技术参数</w:t>
            </w:r>
          </w:p>
        </w:tc>
        <w:tc>
          <w:tcPr>
            <w:tcW w:w="625" w:type="dxa"/>
            <w:noWrap w:val="0"/>
            <w:vAlign w:val="center"/>
          </w:tcPr>
          <w:p>
            <w:pPr>
              <w:ind w:firstLine="2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7</w:t>
            </w:r>
          </w:p>
        </w:tc>
        <w:tc>
          <w:tcPr>
            <w:tcW w:w="6013" w:type="dxa"/>
            <w:noWrap w:val="0"/>
            <w:vAlign w:val="center"/>
          </w:tcPr>
          <w:p>
            <w:pPr>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供应商所投产品技术要求的符合性，即对提供货物的技术参数、配置、性能是否符合磋商文件要求进行评审，本项最高得2</w:t>
            </w:r>
            <w:r>
              <w:rPr>
                <w:rFonts w:hint="eastAsia" w:ascii="宋体" w:hAnsi="宋体" w:cs="宋体"/>
                <w:b w:val="0"/>
                <w:bCs w:val="0"/>
                <w:sz w:val="24"/>
                <w:highlight w:val="none"/>
                <w:lang w:val="en-US" w:eastAsia="zh-CN"/>
              </w:rPr>
              <w:t>7</w:t>
            </w:r>
            <w:r>
              <w:rPr>
                <w:rFonts w:hint="default" w:ascii="宋体" w:hAnsi="宋体" w:eastAsia="宋体" w:cs="宋体"/>
                <w:b w:val="0"/>
                <w:bCs w:val="0"/>
                <w:sz w:val="24"/>
                <w:highlight w:val="none"/>
                <w:lang w:val="en-US" w:eastAsia="zh-CN"/>
              </w:rPr>
              <w:t>分。（1）供应商所投产品的技术参数、配置、性能完全满足采购文件中参数及要求的，得2</w:t>
            </w:r>
            <w:r>
              <w:rPr>
                <w:rFonts w:hint="eastAsia" w:ascii="宋体" w:hAnsi="宋体" w:cs="宋体"/>
                <w:b w:val="0"/>
                <w:bCs w:val="0"/>
                <w:sz w:val="24"/>
                <w:highlight w:val="none"/>
                <w:lang w:val="en-US" w:eastAsia="zh-CN"/>
              </w:rPr>
              <w:t>7</w:t>
            </w:r>
            <w:r>
              <w:rPr>
                <w:rFonts w:hint="default" w:ascii="宋体" w:hAnsi="宋体" w:eastAsia="宋体" w:cs="宋体"/>
                <w:b w:val="0"/>
                <w:bCs w:val="0"/>
                <w:sz w:val="24"/>
                <w:highlight w:val="none"/>
                <w:lang w:val="en-US" w:eastAsia="zh-CN"/>
              </w:rPr>
              <w:t>分；（2）项目清单中，标‘▲’项为重要参数，每有一项指标出现负偏离扣</w:t>
            </w:r>
            <w:r>
              <w:rPr>
                <w:rFonts w:hint="eastAsia" w:ascii="宋体" w:hAnsi="宋体" w:eastAsia="宋体" w:cs="宋体"/>
                <w:b w:val="0"/>
                <w:bCs w:val="0"/>
                <w:sz w:val="24"/>
                <w:highlight w:val="none"/>
                <w:lang w:val="en-US" w:eastAsia="zh-CN"/>
              </w:rPr>
              <w:t>1.5</w:t>
            </w:r>
            <w:r>
              <w:rPr>
                <w:rFonts w:hint="default" w:ascii="宋体" w:hAnsi="宋体" w:eastAsia="宋体" w:cs="宋体"/>
                <w:b w:val="0"/>
                <w:bCs w:val="0"/>
                <w:sz w:val="24"/>
                <w:highlight w:val="none"/>
                <w:lang w:val="en-US" w:eastAsia="zh-CN"/>
              </w:rPr>
              <w:t>分，扣完为止；（3）其余参数为一般技术指标，每有一项低于采购文件要求或未响应的扣1分，扣完为止。</w:t>
            </w:r>
            <w:r>
              <w:rPr>
                <w:rFonts w:hint="default" w:ascii="宋体" w:hAnsi="宋体" w:eastAsia="宋体" w:cs="宋体"/>
                <w:b/>
                <w:bCs/>
                <w:sz w:val="24"/>
                <w:highlight w:val="none"/>
                <w:lang w:val="en-US" w:eastAsia="zh-CN"/>
              </w:rPr>
              <w:t>清单中加“▲”项须按要求提供盖有原厂公章的证明材料复印件并加盖供应商公章。证明材料：如检测报告、功能截图、产品证书、技术参数表或其他技术资料证明等</w:t>
            </w:r>
            <w:r>
              <w:rPr>
                <w:rFonts w:hint="eastAsia" w:ascii="宋体" w:hAnsi="宋体" w:eastAsia="宋体" w:cs="宋体"/>
                <w:b/>
                <w:bCs/>
                <w:sz w:val="24"/>
                <w:highlight w:val="none"/>
                <w:lang w:val="en-US" w:eastAsia="zh-CN"/>
              </w:rPr>
              <w:t>。</w:t>
            </w:r>
          </w:p>
        </w:tc>
        <w:tc>
          <w:tcPr>
            <w:tcW w:w="908" w:type="dxa"/>
            <w:noWrap w:val="0"/>
            <w:vAlign w:val="center"/>
          </w:tcPr>
          <w:p>
            <w:pPr>
              <w:ind w:left="-38"/>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45" w:type="dxa"/>
            <w:gridSpan w:val="2"/>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合计</w:t>
            </w:r>
          </w:p>
        </w:tc>
        <w:tc>
          <w:tcPr>
            <w:tcW w:w="625" w:type="dxa"/>
            <w:noWrap w:val="0"/>
            <w:vAlign w:val="center"/>
          </w:tcPr>
          <w:p>
            <w:pPr>
              <w:ind w:firstLine="28"/>
              <w:jc w:val="center"/>
              <w:rPr>
                <w:rFonts w:hint="eastAsia" w:ascii="宋体" w:hAnsi="宋体" w:eastAsia="宋体" w:cs="宋体"/>
                <w:sz w:val="24"/>
                <w:highlight w:val="none"/>
              </w:rPr>
            </w:pPr>
            <w:r>
              <w:rPr>
                <w:rFonts w:hint="eastAsia" w:ascii="宋体" w:hAnsi="宋体" w:eastAsia="宋体" w:cs="宋体"/>
                <w:sz w:val="24"/>
                <w:highlight w:val="none"/>
              </w:rPr>
              <w:t>100</w:t>
            </w:r>
          </w:p>
        </w:tc>
        <w:tc>
          <w:tcPr>
            <w:tcW w:w="6921" w:type="dxa"/>
            <w:gridSpan w:val="2"/>
            <w:noWrap w:val="0"/>
            <w:vAlign w:val="center"/>
          </w:tcPr>
          <w:p>
            <w:pPr>
              <w:rPr>
                <w:rFonts w:hint="eastAsia" w:ascii="宋体" w:hAnsi="宋体" w:eastAsia="宋体" w:cs="宋体"/>
                <w:szCs w:val="21"/>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A5040"/>
    <w:multiLevelType w:val="singleLevel"/>
    <w:tmpl w:val="EF3A50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MmVjMTVkMWIyMTU1NjMwNDIxN2U0MjhiZTBlYTUifQ=="/>
  </w:docVars>
  <w:rsids>
    <w:rsidRoot w:val="1FAD4D4D"/>
    <w:rsid w:val="1FAD4D4D"/>
    <w:rsid w:val="4CB10CAF"/>
    <w:rsid w:val="61F26A9C"/>
    <w:rsid w:val="750C220F"/>
    <w:rsid w:val="7C4A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5">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1375</Words>
  <Characters>1433</Characters>
  <Lines>0</Lines>
  <Paragraphs>0</Paragraphs>
  <TotalTime>1</TotalTime>
  <ScaleCrop>false</ScaleCrop>
  <LinksUpToDate>false</LinksUpToDate>
  <CharactersWithSpaces>1433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2024-05-21T08:52:00Z</dcterms:created>
  <dc:creator>高永金</dc:creator>
  <cp:lastModifiedBy>高永金</cp:lastModifiedBy>
  <dcterms:modified xsi:type="dcterms:W3CDTF">2024-05-21T08:56:29Z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854FF9312EFF4D8A9476BCE938BD1F99_11</vt:lpwstr>
  </property>
</Properties>
</file>